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Требования к программе “Triangle2”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Play" w:cs="Play" w:eastAsia="Play" w:hAnsi="Play"/>
          <w:color w:val="00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color w:val="000000"/>
          <w:sz w:val="32"/>
          <w:szCs w:val="32"/>
          <w:rtl w:val="0"/>
        </w:rPr>
        <w:t xml:space="preserve">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Программа должна принимать три положительных числа.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Программа должна проверять, могут ли три числа быть сторонами треугольника.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Программа должна классифицировать треугольник как "Равносторонний", "Равнобедренный" или "Разносторонний".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Программа должна отображать сообщение об ошибке, если числа не могут образовать треугольник.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>
          <w:rFonts w:ascii="Play" w:cs="Play" w:eastAsia="Play" w:hAnsi="Play"/>
          <w:color w:val="000000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00000"/>
          <w:sz w:val="32"/>
          <w:szCs w:val="32"/>
          <w:rtl w:val="0"/>
        </w:rPr>
        <w:t xml:space="preserve">Сценарии использования: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Пользователь должен иметь возможность вводить числа в отдельные поля.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Пользователь должен иметь возможность нажимать кнопку для проверки введенных чисел.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Программа должна отображать результат проверки в отдельном поле.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