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QA &amp; UAT Evidence Report</w:t>
      </w:r>
    </w:p>
    <w:p>
      <w:pPr>
        <w:spacing w:after="60"/>
      </w:pPr>
      <w:r>
        <w:rPr>
          <w:b/>
          <w:bCs/>
          <w:color w:val="1F7A5C"/>
          <w:sz w:val="26"/>
          <w:szCs w:val="26"/>
        </w:rPr>
        <w:t xml:space="preserve">Inuka Pulse — Real-Time M&amp;E Dashboard &amp; Web Integration</w:t>
      </w:r>
    </w:p>
    <w:p>
      <w:pPr>
        <w:spacing w:after="300"/>
      </w:pPr>
      <w:r>
        <w:rPr>
          <w:i/>
          <w:iCs/>
          <w:color w:val="5B6B63"/>
          <w:sz w:val="20"/>
          <w:szCs w:val="20"/>
        </w:rPr>
        <w:t xml:space="preserve">Stage 2 · Domain 3, Problem Statement 5 · Beta build, pilot-candidate</w:t>
      </w:r>
    </w:p>
    <w:p>
      <w:pPr>
        <w:pStyle w:val="Heading1"/>
        <w:spacing w:after="140" w:before="280"/>
      </w:pPr>
      <w:r>
        <w:t xml:space="preserve">1. Scope &amp; Method</w:t>
      </w:r>
    </w:p>
    <w:p>
      <w:pPr>
        <w:spacing w:after="160"/>
      </w:pPr>
      <w:r>
        <w:t xml:space="preserve">This report covers three layers of verification for the Inuka Pulse beta: (a) automated test coverage across the streaming data fabric and dashboard, (b) scripted offline-sync testing for the mobile field-capture layer, and (c) User Acceptance Testing conducted as structured, role-based walkthroughs against the running prototype.</w:t>
      </w:r>
    </w:p>
    <w:p>
      <w:pPr>
        <w:spacing w:after="160"/>
      </w:pPr>
      <w:r>
        <w:rPr>
          <w:i/>
          <w:iCs/>
          <w:color w:val="5B6B63"/>
        </w:rPr>
        <w:t xml:space="preserve">A note on the UAT evidence: for this hackathon submission, UAT was run as an internal dry-run — team members role-played the four field/admin personas below against the live prototype using a fixed test script, rather than live sessions with named Inuka staff. Findings and open items are real and unresolved items are flagged as such. We recommend a short live UAT pass with actual Inuka field officers and M&amp;E/admin staff before pilot rollout, using the same script.</w:t>
      </w:r>
    </w:p>
    <w:p>
      <w:pPr>
        <w:pStyle w:val="Heading1"/>
        <w:spacing w:after="140" w:before="280"/>
      </w:pPr>
      <w:r>
        <w:t xml:space="preserve">2. Automated Test Coverage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1300"/>
        <w:gridCol w:w="1200"/>
        <w:gridCol w:w="1850"/>
      </w:tblGrid>
      <w:tr>
        <w:trPr>
          <w:tblHeader/>
        </w:trPr>
        <w:tc>
          <w:tcPr>
            <w:tcW w:type="dxa" w:w="29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1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13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Cases</w:t>
            </w:r>
          </w:p>
        </w:tc>
        <w:tc>
          <w:tcPr>
            <w:tcW w:type="dxa" w:w="12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dxa" w:w="185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Ingestion connectors (4 pillars)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 + contract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91%</w:t>
            </w:r>
          </w:p>
        </w:tc>
      </w:tr>
      <w:tr>
        <w:tc>
          <w:tcPr>
            <w:tcW w:type="dxa" w:w="29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Identity resolution service</w:t>
            </w:r>
          </w:p>
        </w:tc>
        <w:tc>
          <w:tcPr>
            <w:tcW w:type="dxa" w:w="21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 + integration</w:t>
            </w:r>
          </w:p>
        </w:tc>
        <w:tc>
          <w:tcPr>
            <w:tcW w:type="dxa" w:w="13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12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18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88%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Streaming aggregation window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94%</w:t>
            </w:r>
          </w:p>
        </w:tc>
      </w:tr>
      <w:tr>
        <w:tc>
          <w:tcPr>
            <w:tcW w:type="dxa" w:w="29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API (dashboard + widget)</w:t>
            </w:r>
          </w:p>
        </w:tc>
        <w:tc>
          <w:tcPr>
            <w:tcW w:type="dxa" w:w="21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Contract</w:t>
            </w:r>
          </w:p>
        </w:tc>
        <w:tc>
          <w:tcPr>
            <w:tcW w:type="dxa" w:w="13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12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18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90%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UI (6 views)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Component/e2e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86%</w:t>
            </w:r>
          </w:p>
        </w:tc>
      </w:tr>
      <w:tr>
        <w:tc>
          <w:tcPr>
            <w:tcW w:type="dxa" w:w="29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Offline-sync (mobile capture)</w:t>
            </w:r>
          </w:p>
        </w:tc>
        <w:tc>
          <w:tcPr>
            <w:tcW w:type="dxa" w:w="21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Scripted e2e — see Section 3</w:t>
            </w:r>
          </w:p>
        </w:tc>
        <w:tc>
          <w:tcPr>
            <w:tcW w:type="dxa" w:w="13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2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8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color w:val="5B6B63"/>
        </w:rPr>
        <w:t xml:space="preserve">Total: 197 automated/scripted cases, 194 passing (98.5%). Two failing identity-resolution cases relate to edge-case name transliteration and are in the manual-review queue rather than blocking; one dashboard e2e case is a known minor layout issue on very narrow (&lt;340px) viewports.</w:t>
      </w:r>
    </w:p>
    <w:p>
      <w:pPr>
        <w:pStyle w:val="Heading1"/>
        <w:spacing w:after="140" w:before="280"/>
      </w:pPr>
      <w:r>
        <w:t xml:space="preserve">3. Mobile Offline-Sync Test Log</w:t>
      </w:r>
    </w:p>
    <w:p>
      <w:pPr>
        <w:spacing w:after="160"/>
      </w:pPr>
      <w:r>
        <w:t xml:space="preserve">Executed against the Plus-pillar field capture app, the highest offline-usage pillar. Each scenario was run on a mid-range Android test device with connectivity toggled manually.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050"/>
        <w:gridCol w:w="1350"/>
        <w:gridCol w:w="2300"/>
      </w:tblGrid>
      <w:tr>
        <w:trPr>
          <w:tblHeader/>
        </w:trPr>
        <w:tc>
          <w:tcPr>
            <w:tcW w:type="dxa" w:w="265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5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135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3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Capture fully offline, reconnect after 15 min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5 household records offline; restore network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5 synced, identity-matched within 22s of reconnect</w:t>
            </w:r>
          </w:p>
        </w:tc>
      </w:tr>
      <w:tr>
        <w:tc>
          <w:tcPr>
            <w:tcW w:type="dxa" w:w="26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Extended offline period (2h)</w:t>
            </w:r>
          </w:p>
        </w:tc>
        <w:tc>
          <w:tcPr>
            <w:tcW w:type="dxa" w:w="30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records offline; hold offline 2h; reconnect</w:t>
            </w:r>
          </w:p>
        </w:tc>
        <w:tc>
          <w:tcPr>
            <w:tcW w:type="dxa" w:w="13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23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 held locally, synced cleanly on reconnect</w:t>
            </w:r>
          </w:p>
        </w:tc>
      </w:tr>
      <w:tr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Duplicate submission prevention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same record twice offline (accidental double-tap)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Client-side idempotency key deduped before sync</w:t>
            </w:r>
          </w:p>
        </w:tc>
      </w:tr>
      <w:tr>
        <w:tc>
          <w:tcPr>
            <w:tcW w:type="dxa" w:w="26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Conflict: same beneficiary edited on two devices</w:t>
            </w:r>
          </w:p>
        </w:tc>
        <w:tc>
          <w:tcPr>
            <w:tcW w:type="dxa" w:w="30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same record offline on two devices, both reconnect</w:t>
            </w:r>
          </w:p>
        </w:tc>
        <w:tc>
          <w:tcPr>
            <w:tcW w:type="dxa" w:w="13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23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Last-write-wins with a flagged diff for officer review</w:t>
            </w:r>
          </w:p>
        </w:tc>
      </w:tr>
      <w:tr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Partial sync interruption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Kill connectivity mid-sync (batch of 12 records)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Resumed and completed remaining records, no data loss</w:t>
            </w:r>
          </w:p>
        </w:tc>
      </w:tr>
      <w:tr>
        <w:tc>
          <w:tcPr>
            <w:tcW w:type="dxa" w:w="26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Low-storage device behavior</w:t>
            </w:r>
          </w:p>
        </w:tc>
        <w:tc>
          <w:tcPr>
            <w:tcW w:type="dxa" w:w="30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Fill device storage to 95% while queue pending</w:t>
            </w:r>
          </w:p>
        </w:tc>
        <w:tc>
          <w:tcPr>
            <w:tcW w:type="dxa" w:w="13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 (with note)</w:t>
            </w:r>
          </w:p>
        </w:tc>
        <w:tc>
          <w:tcPr>
            <w:tcW w:type="dxa" w:w="23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Sync succeeded; app did not warn user of low storage — backlog item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color w:val="5B6B63"/>
        </w:rPr>
        <w:t xml:space="preserve">28/28 scripted offline-sync scenarios passed functionally; 1 usability backlog item (low-storage warning) logged for Stage 3.</w:t>
      </w:r>
    </w:p>
    <w:p>
      <w:pPr>
        <w:pStyle w:val="Heading1"/>
        <w:spacing w:after="140" w:before="280"/>
      </w:pPr>
      <w:r>
        <w:t xml:space="preserve">4. User Acceptance Testing Notes</w:t>
      </w:r>
    </w:p>
    <w:p>
      <w:pPr>
        <w:spacing w:after="160"/>
      </w:pPr>
      <w:r>
        <w:rPr>
          <w:b/>
          <w:bCs/>
        </w:rPr>
        <w:t xml:space="preserve">4.1 Persona: Vocational Program Officer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Liked that placement outcomes update automatically instead of a monthly manual count against partner employer lists.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Requested a filter to view only their own assigned trainee cohort — noted as a Stage 3 enhancement, not a blocker.</w:t>
      </w:r>
    </w:p>
    <w:p>
      <w:pPr>
        <w:spacing w:after="160"/>
      </w:pPr>
      <w:r>
        <w:rPr>
          <w:b/>
          <w:bCs/>
        </w:rPr>
        <w:t xml:space="preserve">4.2 Persona: M&amp;E Manager (cross-pillar)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Confirmed the unified beneficiary count matched their manual spot-check for a 20-record sample.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Asked for an export-to-Excel button on the Executive View for board-pack preparation — flagged as a quick Stage 3 add, not required for pilot.</w:t>
      </w:r>
    </w:p>
    <w:p>
      <w:pPr>
        <w:spacing w:after="160"/>
      </w:pPr>
      <w:r>
        <w:rPr>
          <w:b/>
          <w:bCs/>
        </w:rPr>
        <w:t xml:space="preserve">4.3 Persona: Plus Field Officer (offline-heavy)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Found the offline capture flow familiar coming from the Stage 1 data-collection form.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Wants a visible "records waiting to sync" counter on the mobile screen itself, not just on the admin dashboard — logged as a Stage 3 usability item.</w:t>
      </w:r>
    </w:p>
    <w:p>
      <w:pPr>
        <w:spacing w:after="160"/>
      </w:pPr>
      <w:r>
        <w:rPr>
          <w:b/>
          <w:bCs/>
        </w:rPr>
        <w:t xml:space="preserve">4.4 Persona: Communications / Website Admin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Confirmed the public widget preview shows no beneficiary-identifying information, satisfying an initial privacy check.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Confirmed the embed snippet approach would not require an existing-website rebuild, per their current CMS.</w:t>
      </w:r>
    </w:p>
    <w:p>
      <w:pPr>
        <w:pStyle w:val="Heading1"/>
        <w:spacing w:after="140" w:before="280"/>
      </w:pPr>
      <w:r>
        <w:t xml:space="preserve">5. Open Items Before Pilot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50"/>
      </w:tblGrid>
      <w:tr>
        <w:trPr>
          <w:tblHeader/>
        </w:trPr>
        <w:tc>
          <w:tcPr>
            <w:tcW w:type="dxa" w:w="48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40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150"/>
            <w:shd w:fill="1450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UAT with named Inuka field staff (replacing this internal dry run)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 for pilot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48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Low-storage warning on mobile capture app</w:t>
            </w:r>
          </w:p>
        </w:tc>
        <w:tc>
          <w:tcPr>
            <w:tcW w:type="dxa" w:w="24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  <w:tc>
          <w:tcPr>
            <w:tcW w:type="dxa" w:w="21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Backlog, Stage 3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identity-resolution edge cases (transliterated names)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 manual-review queue</w:t>
            </w:r>
          </w:p>
        </w:tc>
      </w:tr>
      <w:tr>
        <w:tc>
          <w:tcPr>
            <w:tcW w:type="dxa" w:w="48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Narrow-viewport (&lt;340px) dashboard layout fix</w:t>
            </w:r>
          </w:p>
        </w:tc>
        <w:tc>
          <w:tcPr>
            <w:tcW w:type="dxa" w:w="240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  <w:tc>
          <w:tcPr>
            <w:tcW w:type="dxa" w:w="2150"/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Backlog, Stage 3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 cost-avoidance assumptions with Inuka M&amp;E leadership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 before external use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started — see Impact Memo §4.3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mbria" w:cs="Cambria" w:eastAsia="Cambria" w:hAnsi="Cambria"/>
      <w:b/>
      <w:bCs/>
      <w:color w:val="14503C"/>
      <w:sz w:val="44"/>
      <w:szCs w:val="44"/>
    </w:rPr>
  </w:style>
  <w:style w:type="paragraph" w:styleId="Heading1">
    <w:name w:val="Heading 1"/>
    <w:basedOn w:val="Normal"/>
    <w:next w:val="Normal"/>
    <w:pPr>
      <w:spacing w:after="140" w:before="320"/>
    </w:pPr>
    <w:rPr>
      <w:rFonts w:ascii="Cambria" w:cs="Cambria" w:eastAsia="Cambria" w:hAnsi="Cambria"/>
      <w:b/>
      <w:bCs/>
      <w:color w:val="14503C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mbria" w:cs="Cambria" w:eastAsia="Cambria" w:hAnsi="Cambria"/>
      <w:b/>
      <w:bCs/>
      <w:color w:val="1F7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2026-08-21T07:05:06.412Z</dcterms:created>
  <dcterms:modified xsi:type="dcterms:W3CDTF">2026-08-21T07:05:06.412Z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