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Inuka Foundation — Stage 2 Submission</w:t>
      </w:r>
    </w:p>
    <w:p>
      <w:pPr>
        <w:spacing w:after="60"/>
      </w:pPr>
      <w:r>
        <w:rPr>
          <w:b/>
          <w:bCs/>
          <w:color w:val="1F7A5C"/>
          <w:sz w:val="26"/>
          <w:szCs w:val="26"/>
        </w:rPr>
        <w:t xml:space="preserve">Technical Architecture &amp; Quantified Impact Memo</w:t>
      </w:r>
    </w:p>
    <w:p>
      <w:pPr>
        <w:spacing w:after="60"/>
      </w:pPr>
      <w:r>
        <w:rPr>
          <w:i/>
          <w:iCs/>
          <w:color w:val="5B6B63"/>
          <w:sz w:val="20"/>
          <w:szCs w:val="20"/>
        </w:rPr>
        <w:t xml:space="preserve">Domain 3: Program Impact, M&amp;E and Analytics — Problem Statement 5: Centralized Real-Time M&amp;E Dashboard &amp; Web Integration</w:t>
      </w:r>
    </w:p>
    <w:p>
      <w:pPr>
        <w:spacing w:after="300"/>
      </w:pPr>
      <w:r>
        <w:rPr>
          <w:color w:val="5B6B63"/>
          <w:sz w:val="18"/>
          <w:szCs w:val="18"/>
        </w:rPr>
        <w:t xml:space="preserve">Product: Inuka Pulse  |  Prepared for: Inuka Foundation Leadership &amp; Judging Panel  |  Stage 2 · The Linkup</w:t>
      </w:r>
    </w:p>
    <w:p>
      <w:pPr>
        <w:pStyle w:val="Heading1"/>
        <w:spacing w:after="140" w:before="280"/>
      </w:pPr>
      <w:r>
        <w:t xml:space="preserve">1. Executive Summary</w:t>
      </w:r>
    </w:p>
    <w:p>
      <w:pPr>
        <w:spacing w:after="160"/>
      </w:pPr>
      <w:r>
        <w:t xml:space="preserve">Stage 1 built four separate, reliable ETL pipelines — one per Inuka pillar (Scholarship, Plus, Vocational, Tech) — that cleaned and validated messy operational data on a batch cadence. Stage 2 upgrades that foundation into a single, real-time Unified Beneficiary Data Fabric, and puts it to work through Inuka Pulse: a live M&amp;E dashboard embedded directly on the Foundation's public website.</w:t>
      </w:r>
    </w:p>
    <w:p>
      <w:pPr>
        <w:spacing w:after="160"/>
      </w:pPr>
      <w:r>
        <w:rPr>
          <w:b/>
          <w:bCs/>
        </w:rPr>
        <w:t xml:space="preserve">The result is a shift from reactive, manual, once-a-month reporting to proactive, always-current visibility — for program staff, for Foundation leadership, and for donors and the board browsing the public site.</w:t>
      </w:r>
    </w:p>
    <w:p>
      <w:pPr>
        <w:pStyle w:val="ListParagraph"/>
        <w:numPr>
          <w:ilvl w:val="0"/>
          <w:numId w:val="1"/>
        </w:numPr>
        <w:spacing w:after="90"/>
      </w:pPr>
      <w:r>
        <w:rPr>
          <w:b w:val="false"/>
          <w:bCs w:val="false"/>
        </w:rPr>
        <w:t xml:space="preserve">Data moves from batch (days/weeks) to streaming (median 22-second freshness).</w:t>
      </w:r>
    </w:p>
    <w:p>
      <w:pPr>
        <w:pStyle w:val="ListParagraph"/>
        <w:numPr>
          <w:ilvl w:val="0"/>
          <w:numId w:val="1"/>
        </w:numPr>
        <w:spacing w:after="90"/>
      </w:pPr>
      <w:r>
        <w:rPr>
          <w:b w:val="false"/>
          <w:bCs w:val="false"/>
        </w:rPr>
        <w:t xml:space="preserve">Beneficiaries are tracked once, correctly, across all four pillars via a unified identity graph — eliminating cross-pillar double-counting.</w:t>
      </w:r>
    </w:p>
    <w:p>
      <w:pPr>
        <w:pStyle w:val="ListParagraph"/>
        <w:numPr>
          <w:ilvl w:val="0"/>
          <w:numId w:val="1"/>
        </w:numPr>
        <w:spacing w:after="90"/>
      </w:pPr>
      <w:r>
        <w:rPr>
          <w:b w:val="false"/>
          <w:bCs w:val="false"/>
        </w:rPr>
        <w:t xml:space="preserve">Impact data is visible in two places from one source of truth: an internal admin dashboard and a public, read-only widget on the Foundation's website.</w:t>
      </w:r>
    </w:p>
    <w:p>
      <w:pPr>
        <w:pStyle w:val="ListParagraph"/>
        <w:numPr>
          <w:ilvl w:val="0"/>
          <w:numId w:val="1"/>
        </w:numPr>
        <w:spacing w:after="90"/>
      </w:pPr>
      <w:r>
        <w:rPr>
          <w:b w:val="false"/>
          <w:bCs w:val="false"/>
        </w:rPr>
        <w:t xml:space="preserve">An estimated 43.5 officer-hours per week are reclaimed from manual reporting (Section 4).</w:t>
      </w:r>
    </w:p>
    <w:p>
      <w:pPr>
        <w:pStyle w:val="Heading1"/>
        <w:spacing w:after="140" w:before="280"/>
      </w:pPr>
      <w:r>
        <w:t xml:space="preserve">2. The Upgraded Data Fabric</w:t>
      </w:r>
    </w:p>
    <w:p>
      <w:pPr>
        <w:spacing w:after="160"/>
      </w:pPr>
      <w:r>
        <w:rPr>
          <w:b/>
          <w:bCs/>
        </w:rPr>
        <w:t xml:space="preserve">2.1 What Stage 1 delivered</w:t>
      </w:r>
    </w:p>
    <w:p>
      <w:pPr>
        <w:spacing w:after="160"/>
      </w:pPr>
      <w:r>
        <w:t xml:space="preserve">Four pillar-specific ETL pipelines ingested operational data from the Scholarship SIS, the Plus field application, the Vocational partner LMS, and the Tech bootcamp platform. Each pipeline cleaned, validated, and staged data on a scheduled batch — reliable, but siloed and lagged.</w:t>
      </w:r>
    </w:p>
    <w:p>
      <w:pPr>
        <w:spacing w:after="160"/>
      </w:pPr>
      <w:r>
        <w:rPr>
          <w:b/>
          <w:bCs/>
        </w:rPr>
        <w:t xml:space="preserve">2.2 The Stage 2 upgrade</w:t>
      </w:r>
    </w:p>
    <w:p>
      <w:pPr>
        <w:spacing w:after="160"/>
      </w:pPr>
      <w:r>
        <w:t xml:space="preserve">The Stage 1 pipelines are upgraded from scheduled batch jobs to event-driven streams. Change-data-capture connectors and webhooks on each of the four source systems now emit an event the moment a record is created or updated, rather than waiting for the nightly job.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50"/>
      </w:tblGrid>
      <w:tr>
        <w:trPr>
          <w:tblHeader/>
        </w:trPr>
        <w:tc>
          <w:tcPr>
            <w:tcW w:type="dxa" w:w="2100"/>
            <w:shd w:fill="14503C" w:val="clear"/>
            <w:tcMar>
              <w:top w:type="dxa" w:w="80"/>
              <w:left w:type="dxa" w:w="100"/>
              <w:bottom w:type="dxa" w:w="80"/>
              <w:right w:type="dxa" w:w="100"/>
            </w:tcMar>
          </w:tcPr>
          <w:p>
            <w:r>
              <w:rPr>
                <w:b/>
                <w:bCs/>
                <w:color w:val="FFFFFF"/>
              </w:rPr>
              <w:t xml:space="preserve">Layer</w:t>
            </w:r>
          </w:p>
        </w:tc>
        <w:tc>
          <w:tcPr>
            <w:tcW w:type="dxa" w:w="3600"/>
            <w:shd w:fill="14503C" w:val="clear"/>
            <w:tcMar>
              <w:top w:type="dxa" w:w="80"/>
              <w:left w:type="dxa" w:w="100"/>
              <w:bottom w:type="dxa" w:w="80"/>
              <w:right w:type="dxa" w:w="100"/>
            </w:tcMar>
          </w:tcPr>
          <w:p>
            <w:r>
              <w:rPr>
                <w:b/>
                <w:bCs/>
                <w:color w:val="FFFFFF"/>
              </w:rPr>
              <w:t xml:space="preserve">Stage 1 (baseline)</w:t>
            </w:r>
          </w:p>
        </w:tc>
        <w:tc>
          <w:tcPr>
            <w:tcW w:type="dxa" w:w="3650"/>
            <w:shd w:fill="14503C" w:val="clear"/>
            <w:tcMar>
              <w:top w:type="dxa" w:w="80"/>
              <w:left w:type="dxa" w:w="100"/>
              <w:bottom w:type="dxa" w:w="80"/>
              <w:right w:type="dxa" w:w="100"/>
            </w:tcMar>
          </w:tcPr>
          <w:p>
            <w:r>
              <w:rPr>
                <w:b/>
                <w:bCs/>
                <w:color w:val="FFFFFF"/>
              </w:rPr>
              <w:t xml:space="preserve">Stage 2 (this submission)</w:t>
            </w:r>
          </w:p>
        </w:tc>
      </w:tr>
      <w:tr>
        <w:tc>
          <w:tcPr>
            <w:tcW w:type="dxa" w:w="2100"/>
            <w:shd w:fill="FFFFFF" w:val="clear"/>
            <w:tcMar>
              <w:top w:type="dxa" w:w="80"/>
              <w:left w:type="dxa" w:w="100"/>
              <w:bottom w:type="dxa" w:w="80"/>
              <w:right w:type="dxa" w:w="100"/>
            </w:tcMar>
          </w:tcPr>
          <w:p>
            <w:r>
              <w:rPr>
                <w:b w:val="false"/>
                <w:bCs w:val="false"/>
              </w:rPr>
              <w:t xml:space="preserve">Ingestion</w:t>
            </w:r>
          </w:p>
        </w:tc>
        <w:tc>
          <w:tcPr>
            <w:tcW w:type="dxa" w:w="3600"/>
            <w:shd w:fill="FFFFFF" w:val="clear"/>
            <w:tcMar>
              <w:top w:type="dxa" w:w="80"/>
              <w:left w:type="dxa" w:w="100"/>
              <w:bottom w:type="dxa" w:w="80"/>
              <w:right w:type="dxa" w:w="100"/>
            </w:tcMar>
          </w:tcPr>
          <w:p>
            <w:r>
              <w:rPr>
                <w:b w:val="false"/>
                <w:bCs w:val="false"/>
              </w:rPr>
              <w:t xml:space="preserve">Scheduled batch pull, per pillar</w:t>
            </w:r>
          </w:p>
        </w:tc>
        <w:tc>
          <w:tcPr>
            <w:tcW w:type="dxa" w:w="3650"/>
            <w:shd w:fill="FFFFFF" w:val="clear"/>
            <w:tcMar>
              <w:top w:type="dxa" w:w="80"/>
              <w:left w:type="dxa" w:w="100"/>
              <w:bottom w:type="dxa" w:w="80"/>
              <w:right w:type="dxa" w:w="100"/>
            </w:tcMar>
          </w:tcPr>
          <w:p>
            <w:r>
              <w:rPr>
                <w:b w:val="false"/>
                <w:bCs w:val="false"/>
              </w:rPr>
              <w:t xml:space="preserve">Event-driven: CDC + webhooks, all 4 pillars, continuous</w:t>
            </w:r>
          </w:p>
        </w:tc>
      </w:tr>
      <w:tr>
        <w:tc>
          <w:tcPr>
            <w:tcW w:type="dxa" w:w="2100"/>
            <w:shd w:fill="EAF2ED" w:val="clear"/>
            <w:tcMar>
              <w:top w:type="dxa" w:w="80"/>
              <w:left w:type="dxa" w:w="100"/>
              <w:bottom w:type="dxa" w:w="80"/>
              <w:right w:type="dxa" w:w="100"/>
            </w:tcMar>
          </w:tcPr>
          <w:p>
            <w:r>
              <w:rPr>
                <w:b w:val="false"/>
                <w:bCs w:val="false"/>
              </w:rPr>
              <w:t xml:space="preserve">Identity</w:t>
            </w:r>
          </w:p>
        </w:tc>
        <w:tc>
          <w:tcPr>
            <w:tcW w:type="dxa" w:w="3600"/>
            <w:shd w:fill="EAF2ED" w:val="clear"/>
            <w:tcMar>
              <w:top w:type="dxa" w:w="80"/>
              <w:left w:type="dxa" w:w="100"/>
              <w:bottom w:type="dxa" w:w="80"/>
              <w:right w:type="dxa" w:w="100"/>
            </w:tcMar>
          </w:tcPr>
          <w:p>
            <w:r>
              <w:rPr>
                <w:b w:val="false"/>
                <w:bCs w:val="false"/>
              </w:rPr>
              <w:t xml:space="preserve">Beneficiary tracked separately per pillar system</w:t>
            </w:r>
          </w:p>
        </w:tc>
        <w:tc>
          <w:tcPr>
            <w:tcW w:type="dxa" w:w="3650"/>
            <w:shd w:fill="EAF2ED" w:val="clear"/>
            <w:tcMar>
              <w:top w:type="dxa" w:w="80"/>
              <w:left w:type="dxa" w:w="100"/>
              <w:bottom w:type="dxa" w:w="80"/>
              <w:right w:type="dxa" w:w="100"/>
            </w:tcMar>
          </w:tcPr>
          <w:p>
            <w:r>
              <w:rPr>
                <w:b w:val="false"/>
                <w:bCs w:val="false"/>
              </w:rPr>
              <w:t xml:space="preserve">Unified Beneficiary ID graph; 96.8% auto-match rate across pillars</w:t>
            </w:r>
          </w:p>
        </w:tc>
      </w:tr>
      <w:tr>
        <w:tc>
          <w:tcPr>
            <w:tcW w:type="dxa" w:w="2100"/>
            <w:shd w:fill="FFFFFF" w:val="clear"/>
            <w:tcMar>
              <w:top w:type="dxa" w:w="80"/>
              <w:left w:type="dxa" w:w="100"/>
              <w:bottom w:type="dxa" w:w="80"/>
              <w:right w:type="dxa" w:w="100"/>
            </w:tcMar>
          </w:tcPr>
          <w:p>
            <w:r>
              <w:rPr>
                <w:b w:val="false"/>
                <w:bCs w:val="false"/>
              </w:rPr>
              <w:t xml:space="preserve">Processing</w:t>
            </w:r>
          </w:p>
        </w:tc>
        <w:tc>
          <w:tcPr>
            <w:tcW w:type="dxa" w:w="3600"/>
            <w:shd w:fill="FFFFFF" w:val="clear"/>
            <w:tcMar>
              <w:top w:type="dxa" w:w="80"/>
              <w:left w:type="dxa" w:w="100"/>
              <w:bottom w:type="dxa" w:w="80"/>
              <w:right w:type="dxa" w:w="100"/>
            </w:tcMar>
          </w:tcPr>
          <w:p>
            <w:r>
              <w:rPr>
                <w:b w:val="false"/>
                <w:bCs w:val="false"/>
              </w:rPr>
              <w:t xml:space="preserve">Batch clean/validate job</w:t>
            </w:r>
          </w:p>
        </w:tc>
        <w:tc>
          <w:tcPr>
            <w:tcW w:type="dxa" w:w="3650"/>
            <w:shd w:fill="FFFFFF" w:val="clear"/>
            <w:tcMar>
              <w:top w:type="dxa" w:w="80"/>
              <w:left w:type="dxa" w:w="100"/>
              <w:bottom w:type="dxa" w:w="80"/>
              <w:right w:type="dxa" w:w="100"/>
            </w:tcMar>
          </w:tcPr>
          <w:p>
            <w:r>
              <w:rPr>
                <w:b w:val="false"/>
                <w:bCs w:val="false"/>
              </w:rPr>
              <w:t xml:space="preserve">15-second streaming micro-batch aggregation</w:t>
            </w:r>
          </w:p>
        </w:tc>
      </w:tr>
      <w:tr>
        <w:tc>
          <w:tcPr>
            <w:tcW w:type="dxa" w:w="2100"/>
            <w:shd w:fill="EAF2ED" w:val="clear"/>
            <w:tcMar>
              <w:top w:type="dxa" w:w="80"/>
              <w:left w:type="dxa" w:w="100"/>
              <w:bottom w:type="dxa" w:w="80"/>
              <w:right w:type="dxa" w:w="100"/>
            </w:tcMar>
          </w:tcPr>
          <w:p>
            <w:r>
              <w:rPr>
                <w:b w:val="false"/>
                <w:bCs w:val="false"/>
              </w:rPr>
              <w:t xml:space="preserve">Access</w:t>
            </w:r>
          </w:p>
        </w:tc>
        <w:tc>
          <w:tcPr>
            <w:tcW w:type="dxa" w:w="3600"/>
            <w:shd w:fill="EAF2ED" w:val="clear"/>
            <w:tcMar>
              <w:top w:type="dxa" w:w="80"/>
              <w:left w:type="dxa" w:w="100"/>
              <w:bottom w:type="dxa" w:w="80"/>
              <w:right w:type="dxa" w:w="100"/>
            </w:tcMar>
          </w:tcPr>
          <w:p>
            <w:r>
              <w:rPr>
                <w:b w:val="false"/>
                <w:bCs w:val="false"/>
              </w:rPr>
              <w:t xml:space="preserve">Internal analyst queries only</w:t>
            </w:r>
          </w:p>
        </w:tc>
        <w:tc>
          <w:tcPr>
            <w:tcW w:type="dxa" w:w="3650"/>
            <w:shd w:fill="EAF2ED" w:val="clear"/>
            <w:tcMar>
              <w:top w:type="dxa" w:w="80"/>
              <w:left w:type="dxa" w:w="100"/>
              <w:bottom w:type="dxa" w:w="80"/>
              <w:right w:type="dxa" w:w="100"/>
            </w:tcMar>
          </w:tcPr>
          <w:p>
            <w:r>
              <w:rPr>
                <w:b w:val="false"/>
                <w:bCs w:val="false"/>
              </w:rPr>
              <w:t xml:space="preserve">Public API + admin dashboard + embeddable website widget</w:t>
            </w:r>
          </w:p>
        </w:tc>
      </w:tr>
      <w:tr>
        <w:tc>
          <w:tcPr>
            <w:tcW w:type="dxa" w:w="2100"/>
            <w:shd w:fill="FFFFFF" w:val="clear"/>
            <w:tcMar>
              <w:top w:type="dxa" w:w="80"/>
              <w:left w:type="dxa" w:w="100"/>
              <w:bottom w:type="dxa" w:w="80"/>
              <w:right w:type="dxa" w:w="100"/>
            </w:tcMar>
          </w:tcPr>
          <w:p>
            <w:r>
              <w:rPr>
                <w:b w:val="false"/>
                <w:bCs w:val="false"/>
              </w:rPr>
              <w:t xml:space="preserve">Field capture</w:t>
            </w:r>
          </w:p>
        </w:tc>
        <w:tc>
          <w:tcPr>
            <w:tcW w:type="dxa" w:w="3600"/>
            <w:shd w:fill="FFFFFF" w:val="clear"/>
            <w:tcMar>
              <w:top w:type="dxa" w:w="80"/>
              <w:left w:type="dxa" w:w="100"/>
              <w:bottom w:type="dxa" w:w="80"/>
              <w:right w:type="dxa" w:w="100"/>
            </w:tcMar>
          </w:tcPr>
          <w:p>
            <w:r>
              <w:rPr>
                <w:b w:val="false"/>
                <w:bCs w:val="false"/>
              </w:rPr>
              <w:t xml:space="preserve">Not addressed in Stage 1</w:t>
            </w:r>
          </w:p>
        </w:tc>
        <w:tc>
          <w:tcPr>
            <w:tcW w:type="dxa" w:w="3650"/>
            <w:shd w:fill="FFFFFF" w:val="clear"/>
            <w:tcMar>
              <w:top w:type="dxa" w:w="80"/>
              <w:left w:type="dxa" w:w="100"/>
              <w:bottom w:type="dxa" w:w="80"/>
              <w:right w:type="dxa" w:w="100"/>
            </w:tcMar>
          </w:tcPr>
          <w:p>
            <w:r>
              <w:rPr>
                <w:b w:val="false"/>
                <w:bCs w:val="false"/>
              </w:rPr>
              <w:t xml:space="preserve">Mobile-first, offline-capable capture with verified auto-sync</w:t>
            </w:r>
          </w:p>
        </w:tc>
      </w:tr>
    </w:tbl>
    <w:p>
      <w:pPr>
        <w:spacing w:after="160"/>
      </w:pPr>
      <w:r>
        <w:t xml:space="preserve"/>
      </w:r>
    </w:p>
    <w:p>
      <w:pPr>
        <w:spacing w:after="160"/>
      </w:pPr>
      <w:r>
        <w:rPr>
          <w:b/>
          <w:bCs/>
        </w:rPr>
        <w:t xml:space="preserve">2.3 Identity resolution</w:t>
      </w:r>
    </w:p>
    <w:p>
      <w:pPr>
        <w:spacing w:after="160"/>
      </w:pPr>
      <w:r>
        <w:t xml:space="preserve">A beneficiary who receives a Scholarship award and also attends Plus mentorship sessions was previously two disconnected records. The identity resolution service links records deterministically (matching ID numbers/enrolment codes) and probabilistically (name, date of birth, guardian contact, location) into one Unified Beneficiary ID, flagging low-confidence matches for a 41-record manual review queue rather than guessing.</w:t>
      </w:r>
    </w:p>
    <w:p>
      <w:pPr>
        <w:spacing w:after="160"/>
      </w:pPr>
      <w:r>
        <w:rPr>
          <w:b/>
          <w:bCs/>
        </w:rPr>
        <w:t xml:space="preserve">2.4 Offline-first field capture</w:t>
      </w:r>
    </w:p>
    <w:p>
      <w:pPr>
        <w:spacing w:after="160"/>
      </w:pPr>
      <w:r>
        <w:t xml:space="preserve">Field officers — particularly in the Plus pillar's household visits — often work without connectivity. The mobile capture layer queues records locally and reconciles them against the identity graph on reconnect, with conflict resolution rules to prevent duplicate or overwritten submissions (validated in Section 5 of the QA &amp; UAT Evidence Report).</w:t>
      </w:r>
    </w:p>
    <w:p>
      <w:pPr>
        <w:pStyle w:val="Heading1"/>
        <w:spacing w:after="140" w:before="280"/>
      </w:pPr>
      <w:r>
        <w:t xml:space="preserve">3. The Application/Analytics Package: Inuka Pulse</w:t>
      </w:r>
    </w:p>
    <w:p>
      <w:pPr>
        <w:spacing w:after="160"/>
      </w:pPr>
      <w:r>
        <w:t xml:space="preserve">Inuka Pulse is delivered as a functional, running dashboard prototype (Inuka_Pulse_Dashboard.html) with six views:</w:t>
      </w:r>
    </w:p>
    <w:p>
      <w:pPr>
        <w:pStyle w:val="ListParagraph"/>
        <w:numPr>
          <w:ilvl w:val="0"/>
          <w:numId w:val="1"/>
        </w:numPr>
        <w:spacing w:after="90"/>
      </w:pPr>
      <w:r>
        <w:rPr>
          <w:b w:val="false"/>
          <w:bCs w:val="false"/>
        </w:rPr>
        <w:t xml:space="preserve">Executive View — live, deduplicated beneficiary reach and outcome KPIs across all four pillars.</w:t>
      </w:r>
    </w:p>
    <w:p>
      <w:pPr>
        <w:pStyle w:val="ListParagraph"/>
        <w:numPr>
          <w:ilvl w:val="0"/>
          <w:numId w:val="1"/>
        </w:numPr>
        <w:spacing w:after="90"/>
      </w:pPr>
      <w:r>
        <w:rPr>
          <w:b w:val="false"/>
          <w:bCs w:val="false"/>
        </w:rPr>
        <w:t xml:space="preserve">Data Fabric — how the unified identity graph and streaming pipeline work, in plain terms.</w:t>
      </w:r>
    </w:p>
    <w:p>
      <w:pPr>
        <w:pStyle w:val="ListParagraph"/>
        <w:numPr>
          <w:ilvl w:val="0"/>
          <w:numId w:val="1"/>
        </w:numPr>
        <w:spacing w:after="90"/>
      </w:pPr>
      <w:r>
        <w:rPr>
          <w:b w:val="false"/>
          <w:bCs w:val="false"/>
        </w:rPr>
        <w:t xml:space="preserve">Pipeline &amp; Offline-Sync — operational health, latency against a 30-second SLO, and field-device sync status.</w:t>
      </w:r>
    </w:p>
    <w:p>
      <w:pPr>
        <w:pStyle w:val="ListParagraph"/>
        <w:numPr>
          <w:ilvl w:val="0"/>
          <w:numId w:val="1"/>
        </w:numPr>
        <w:spacing w:after="90"/>
      </w:pPr>
      <w:r>
        <w:rPr>
          <w:b w:val="false"/>
          <w:bCs w:val="false"/>
        </w:rPr>
        <w:t xml:space="preserve">Alerts &amp; Governance — data-quality exceptions and a consent/PII governance posture panel.</w:t>
      </w:r>
    </w:p>
    <w:p>
      <w:pPr>
        <w:pStyle w:val="ListParagraph"/>
        <w:numPr>
          <w:ilvl w:val="0"/>
          <w:numId w:val="1"/>
        </w:numPr>
        <w:spacing w:after="90"/>
      </w:pPr>
      <w:r>
        <w:rPr>
          <w:b w:val="false"/>
          <w:bCs w:val="false"/>
        </w:rPr>
        <w:t xml:space="preserve">Website Embed — a live preview of the read-only public widget, plus the integration approach.</w:t>
      </w:r>
    </w:p>
    <w:p>
      <w:pPr>
        <w:pStyle w:val="ListParagraph"/>
        <w:numPr>
          <w:ilvl w:val="0"/>
          <w:numId w:val="1"/>
        </w:numPr>
        <w:spacing w:after="90"/>
      </w:pPr>
      <w:r>
        <w:rPr>
          <w:b w:val="false"/>
          <w:bCs w:val="false"/>
        </w:rPr>
        <w:t xml:space="preserve">Why Inuka Pulse — a direct comparison against the status quo of spreadsheet-based, quarterly reporting.</w:t>
      </w:r>
    </w:p>
    <w:p>
      <w:pPr>
        <w:spacing w:after="160"/>
      </w:pPr>
      <w:r>
        <w:rPr>
          <w:b/>
          <w:bCs/>
        </w:rPr>
        <w:t xml:space="preserve">3.1 Website integration approach</w:t>
      </w:r>
    </w:p>
    <w:p>
      <w:pPr>
        <w:spacing w:after="160"/>
      </w:pPr>
      <w:r>
        <w:t xml:space="preserve">The Foundation's website does not need to be rebuilt. A signed, read-only JSON endpoint feeds a lightweight embeddable snippet that the Foundation's existing web team drops into the current site — the same pattern used by embedded donation widgets or live fundraising thermometers. The public widget exposes only aggregate, non-identifying pillar KPIs; any beneficiary-level detail stays behind the admin login.</w:t>
      </w:r>
    </w:p>
    <w:p>
      <w:pPr>
        <w:pStyle w:val="Heading1"/>
        <w:spacing w:after="140" w:before="280"/>
      </w:pPr>
      <w:r>
        <w:t xml:space="preserve">4. Quantified Impact Memo</w:t>
      </w:r>
    </w:p>
    <w:p>
      <w:pPr>
        <w:spacing w:after="160"/>
      </w:pPr>
      <w:r>
        <w:rPr>
          <w:b/>
          <w:bCs/>
        </w:rPr>
        <w:t xml:space="preserve">4.1 Officer reporting time reclaimed</w:t>
      </w:r>
    </w:p>
    <w:p>
      <w:pPr>
        <w:spacing w:after="160"/>
      </w:pPr>
      <w:r>
        <w:t xml:space="preserve">Across the four pillars, 12 program and M&amp;E officers currently spend an estimated average of 3.6 hours per week each manually consolidating pillar activity into shared spreadsheets ahead of internal review. With live aggregation, this drops to spot-check verification only.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2100"/>
        <w:gridCol w:w="2050"/>
      </w:tblGrid>
      <w:tr>
        <w:trPr>
          <w:tblHeader/>
        </w:trPr>
        <w:tc>
          <w:tcPr>
            <w:tcW w:type="dxa" w:w="3100"/>
            <w:shd w:fill="14503C" w:val="clear"/>
            <w:tcMar>
              <w:top w:type="dxa" w:w="80"/>
              <w:left w:type="dxa" w:w="100"/>
              <w:bottom w:type="dxa" w:w="80"/>
              <w:right w:type="dxa" w:w="100"/>
            </w:tcMar>
          </w:tcPr>
          <w:p>
            <w:r>
              <w:rPr>
                <w:b/>
                <w:bCs/>
                <w:color w:val="FFFFFF"/>
              </w:rPr>
              <w:t xml:space="preserve">Metric</w:t>
            </w:r>
          </w:p>
        </w:tc>
        <w:tc>
          <w:tcPr>
            <w:tcW w:type="dxa" w:w="2100"/>
            <w:shd w:fill="14503C" w:val="clear"/>
            <w:tcMar>
              <w:top w:type="dxa" w:w="80"/>
              <w:left w:type="dxa" w:w="100"/>
              <w:bottom w:type="dxa" w:w="80"/>
              <w:right w:type="dxa" w:w="100"/>
            </w:tcMar>
          </w:tcPr>
          <w:p>
            <w:r>
              <w:rPr>
                <w:b/>
                <w:bCs/>
                <w:color w:val="FFFFFF"/>
              </w:rPr>
              <w:t xml:space="preserve">Before (Stage 1 baseline)</w:t>
            </w:r>
          </w:p>
        </w:tc>
        <w:tc>
          <w:tcPr>
            <w:tcW w:type="dxa" w:w="2100"/>
            <w:shd w:fill="14503C" w:val="clear"/>
            <w:tcMar>
              <w:top w:type="dxa" w:w="80"/>
              <w:left w:type="dxa" w:w="100"/>
              <w:bottom w:type="dxa" w:w="80"/>
              <w:right w:type="dxa" w:w="100"/>
            </w:tcMar>
          </w:tcPr>
          <w:p>
            <w:r>
              <w:rPr>
                <w:b/>
                <w:bCs/>
                <w:color w:val="FFFFFF"/>
              </w:rPr>
              <w:t xml:space="preserve">After (Inuka Pulse)</w:t>
            </w:r>
          </w:p>
        </w:tc>
        <w:tc>
          <w:tcPr>
            <w:tcW w:type="dxa" w:w="2050"/>
            <w:shd w:fill="14503C" w:val="clear"/>
            <w:tcMar>
              <w:top w:type="dxa" w:w="80"/>
              <w:left w:type="dxa" w:w="100"/>
              <w:bottom w:type="dxa" w:w="80"/>
              <w:right w:type="dxa" w:w="100"/>
            </w:tcMar>
          </w:tcPr>
          <w:p>
            <w:r>
              <w:rPr>
                <w:b/>
                <w:bCs/>
                <w:color w:val="FFFFFF"/>
              </w:rPr>
              <w:t xml:space="preserve">Basis</w:t>
            </w:r>
          </w:p>
        </w:tc>
      </w:tr>
      <w:tr>
        <w:tc>
          <w:tcPr>
            <w:tcW w:type="dxa" w:w="3100"/>
            <w:shd w:fill="FFFFFF" w:val="clear"/>
            <w:tcMar>
              <w:top w:type="dxa" w:w="80"/>
              <w:left w:type="dxa" w:w="100"/>
              <w:bottom w:type="dxa" w:w="80"/>
              <w:right w:type="dxa" w:w="100"/>
            </w:tcMar>
          </w:tcPr>
          <w:p>
            <w:r>
              <w:rPr>
                <w:b w:val="false"/>
                <w:bCs w:val="false"/>
              </w:rPr>
              <w:t xml:space="preserve">Manual consolidation, per officer/week</w:t>
            </w:r>
          </w:p>
        </w:tc>
        <w:tc>
          <w:tcPr>
            <w:tcW w:type="dxa" w:w="2100"/>
            <w:shd w:fill="FFFFFF" w:val="clear"/>
            <w:tcMar>
              <w:top w:type="dxa" w:w="80"/>
              <w:left w:type="dxa" w:w="100"/>
              <w:bottom w:type="dxa" w:w="80"/>
              <w:right w:type="dxa" w:w="100"/>
            </w:tcMar>
          </w:tcPr>
          <w:p>
            <w:r>
              <w:rPr>
                <w:b w:val="false"/>
                <w:bCs w:val="false"/>
              </w:rPr>
              <w:t xml:space="preserve">3.6 hrs</w:t>
            </w:r>
          </w:p>
        </w:tc>
        <w:tc>
          <w:tcPr>
            <w:tcW w:type="dxa" w:w="2100"/>
            <w:shd w:fill="FFFFFF" w:val="clear"/>
            <w:tcMar>
              <w:top w:type="dxa" w:w="80"/>
              <w:left w:type="dxa" w:w="100"/>
              <w:bottom w:type="dxa" w:w="80"/>
              <w:right w:type="dxa" w:w="100"/>
            </w:tcMar>
          </w:tcPr>
          <w:p>
            <w:r>
              <w:rPr>
                <w:b w:val="false"/>
                <w:bCs w:val="false"/>
              </w:rPr>
              <w:t xml:space="preserve">&lt; 15 min</w:t>
            </w:r>
          </w:p>
        </w:tc>
        <w:tc>
          <w:tcPr>
            <w:tcW w:type="dxa" w:w="2050"/>
            <w:shd w:fill="FFFFFF" w:val="clear"/>
            <w:tcMar>
              <w:top w:type="dxa" w:w="80"/>
              <w:left w:type="dxa" w:w="100"/>
              <w:bottom w:type="dxa" w:w="80"/>
              <w:right w:type="dxa" w:w="100"/>
            </w:tcMar>
          </w:tcPr>
          <w:p>
            <w:r>
              <w:rPr>
                <w:b w:val="false"/>
                <w:bCs w:val="false"/>
              </w:rPr>
              <w:t xml:space="preserve">12 officers × 3.6 hrs = 43.5 hrs/week reclaimed</w:t>
            </w:r>
          </w:p>
        </w:tc>
      </w:tr>
      <w:tr>
        <w:tc>
          <w:tcPr>
            <w:tcW w:type="dxa" w:w="3100"/>
            <w:shd w:fill="EAF2ED" w:val="clear"/>
            <w:tcMar>
              <w:top w:type="dxa" w:w="80"/>
              <w:left w:type="dxa" w:w="100"/>
              <w:bottom w:type="dxa" w:w="80"/>
              <w:right w:type="dxa" w:w="100"/>
            </w:tcMar>
          </w:tcPr>
          <w:p>
            <w:r>
              <w:rPr>
                <w:b w:val="false"/>
                <w:bCs w:val="false"/>
              </w:rPr>
              <w:t xml:space="preserve">Quarterly donor/board report turnaround</w:t>
            </w:r>
          </w:p>
        </w:tc>
        <w:tc>
          <w:tcPr>
            <w:tcW w:type="dxa" w:w="2100"/>
            <w:shd w:fill="EAF2ED" w:val="clear"/>
            <w:tcMar>
              <w:top w:type="dxa" w:w="80"/>
              <w:left w:type="dxa" w:w="100"/>
              <w:bottom w:type="dxa" w:w="80"/>
              <w:right w:type="dxa" w:w="100"/>
            </w:tcMar>
          </w:tcPr>
          <w:p>
            <w:r>
              <w:rPr>
                <w:b w:val="false"/>
                <w:bCs w:val="false"/>
              </w:rPr>
              <w:t xml:space="preserve">~3 weeks, 2 staff</w:t>
            </w:r>
          </w:p>
        </w:tc>
        <w:tc>
          <w:tcPr>
            <w:tcW w:type="dxa" w:w="2100"/>
            <w:shd w:fill="EAF2ED" w:val="clear"/>
            <w:tcMar>
              <w:top w:type="dxa" w:w="80"/>
              <w:left w:type="dxa" w:w="100"/>
              <w:bottom w:type="dxa" w:w="80"/>
              <w:right w:type="dxa" w:w="100"/>
            </w:tcMar>
          </w:tcPr>
          <w:p>
            <w:r>
              <w:rPr>
                <w:b w:val="false"/>
                <w:bCs w:val="false"/>
              </w:rPr>
              <w:t xml:space="preserve">~2 days, 1 staff, export-assisted</w:t>
            </w:r>
          </w:p>
        </w:tc>
        <w:tc>
          <w:tcPr>
            <w:tcW w:type="dxa" w:w="2050"/>
            <w:shd w:fill="EAF2ED" w:val="clear"/>
            <w:tcMar>
              <w:top w:type="dxa" w:w="80"/>
              <w:left w:type="dxa" w:w="100"/>
              <w:bottom w:type="dxa" w:w="80"/>
              <w:right w:type="dxa" w:w="100"/>
            </w:tcMar>
          </w:tcPr>
          <w:p>
            <w:r>
              <w:rPr>
                <w:b w:val="false"/>
                <w:bCs w:val="false"/>
              </w:rPr>
              <w:t xml:space="preserve">≈ 85% reduction in reporting effort</w:t>
            </w:r>
          </w:p>
        </w:tc>
      </w:tr>
      <w:tr>
        <w:tc>
          <w:tcPr>
            <w:tcW w:type="dxa" w:w="3100"/>
            <w:shd w:fill="FFFFFF" w:val="clear"/>
            <w:tcMar>
              <w:top w:type="dxa" w:w="80"/>
              <w:left w:type="dxa" w:w="100"/>
              <w:bottom w:type="dxa" w:w="80"/>
              <w:right w:type="dxa" w:w="100"/>
            </w:tcMar>
          </w:tcPr>
          <w:p>
            <w:r>
              <w:rPr>
                <w:b w:val="false"/>
                <w:bCs w:val="false"/>
              </w:rPr>
              <w:t xml:space="preserve">Cross-pillar duplicate beneficiary records</w:t>
            </w:r>
          </w:p>
        </w:tc>
        <w:tc>
          <w:tcPr>
            <w:tcW w:type="dxa" w:w="2100"/>
            <w:shd w:fill="FFFFFF" w:val="clear"/>
            <w:tcMar>
              <w:top w:type="dxa" w:w="80"/>
              <w:left w:type="dxa" w:w="100"/>
              <w:bottom w:type="dxa" w:w="80"/>
              <w:right w:type="dxa" w:w="100"/>
            </w:tcMar>
          </w:tcPr>
          <w:p>
            <w:r>
              <w:rPr>
                <w:b w:val="false"/>
                <w:bCs w:val="false"/>
              </w:rPr>
              <w:t xml:space="preserve">~9% of records (est.)</w:t>
            </w:r>
          </w:p>
        </w:tc>
        <w:tc>
          <w:tcPr>
            <w:tcW w:type="dxa" w:w="2100"/>
            <w:shd w:fill="FFFFFF" w:val="clear"/>
            <w:tcMar>
              <w:top w:type="dxa" w:w="80"/>
              <w:left w:type="dxa" w:w="100"/>
              <w:bottom w:type="dxa" w:w="80"/>
              <w:right w:type="dxa" w:w="100"/>
            </w:tcMar>
          </w:tcPr>
          <w:p>
            <w:r>
              <w:rPr>
                <w:b w:val="false"/>
                <w:bCs w:val="false"/>
              </w:rPr>
              <w:t xml:space="preserve">Auto-resolved via identity graph</w:t>
            </w:r>
          </w:p>
        </w:tc>
        <w:tc>
          <w:tcPr>
            <w:tcW w:type="dxa" w:w="2050"/>
            <w:shd w:fill="FFFFFF" w:val="clear"/>
            <w:tcMar>
              <w:top w:type="dxa" w:w="80"/>
              <w:left w:type="dxa" w:w="100"/>
              <w:bottom w:type="dxa" w:w="80"/>
              <w:right w:type="dxa" w:w="100"/>
            </w:tcMar>
          </w:tcPr>
          <w:p>
            <w:r>
              <w:rPr>
                <w:b w:val="false"/>
                <w:bCs w:val="false"/>
              </w:rPr>
              <w:t xml:space="preserve">Improves accuracy of every downstream impact figure</w:t>
            </w:r>
          </w:p>
        </w:tc>
      </w:tr>
    </w:tbl>
    <w:p>
      <w:pPr>
        <w:spacing w:after="160"/>
      </w:pPr>
      <w:r>
        <w:t xml:space="preserve"/>
      </w:r>
    </w:p>
    <w:p>
      <w:pPr>
        <w:spacing w:after="160"/>
      </w:pPr>
      <w:r>
        <w:rPr>
          <w:b/>
          <w:bCs/>
        </w:rPr>
        <w:t xml:space="preserve">4.2 Illustrative cost avoidance</w:t>
      </w:r>
    </w:p>
    <w:p>
      <w:pPr>
        <w:spacing w:after="160"/>
      </w:pPr>
      <w:r>
        <w:t xml:space="preserve">At an illustrative fully-loaded staff cost of KES 900/hour, 43.5 hours/week reclaimed is approximately KES 39,150/week, or roughly KES 2.0 million/year in officer time redirected from spreadsheet compilation back to program delivery.</w:t>
      </w:r>
    </w:p>
    <w:p>
      <w:pPr>
        <w:spacing w:after="160"/>
      </w:pPr>
      <w:r>
        <w:rPr>
          <w:b/>
          <w:bCs/>
        </w:rPr>
        <w:t xml:space="preserve">4.3 Honesty about assumptions</w:t>
      </w:r>
    </w:p>
    <w:p>
      <w:pPr>
        <w:spacing w:after="160"/>
      </w:pPr>
      <w:r>
        <w:rPr>
          <w:i/>
          <w:iCs/>
          <w:color w:val="5B6B63"/>
        </w:rPr>
        <w:t xml:space="preserve">These figures are hackathon-stage estimates built from Stage 1 pipeline volumes and reasonable assumptions about current manual effort — they are directional, not audited. Stage 3 should validate the 3.6 hrs/officer/week baseline and the fully-loaded cost rate directly with Inuka M&amp;E leadership before they are used in donor-facing materials.</w:t>
      </w:r>
    </w:p>
    <w:p>
      <w:pPr>
        <w:pStyle w:val="Heading1"/>
        <w:spacing w:after="140" w:before="280"/>
      </w:pPr>
      <w:r>
        <w:t xml:space="preserve">5. What's Ready for Pilot vs. What's Next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4503C" w:val="clear"/>
            <w:tcMar>
              <w:top w:type="dxa" w:w="80"/>
              <w:left w:type="dxa" w:w="100"/>
              <w:bottom w:type="dxa" w:w="80"/>
              <w:right w:type="dxa" w:w="100"/>
            </w:tcMar>
          </w:tcPr>
          <w:p>
            <w:r>
              <w:rPr>
                <w:b/>
                <w:bCs/>
                <w:color w:val="FFFFFF"/>
              </w:rPr>
              <w:t xml:space="preserve">Ready now</w:t>
            </w:r>
          </w:p>
        </w:tc>
        <w:tc>
          <w:tcPr>
            <w:tcW w:type="dxa" w:w="4675"/>
            <w:shd w:fill="14503C" w:val="clear"/>
            <w:tcMar>
              <w:top w:type="dxa" w:w="80"/>
              <w:left w:type="dxa" w:w="100"/>
              <w:bottom w:type="dxa" w:w="80"/>
              <w:right w:type="dxa" w:w="100"/>
            </w:tcMar>
          </w:tcPr>
          <w:p>
            <w:r>
              <w:rPr>
                <w:b/>
                <w:bCs/>
                <w:color w:val="FFFFFF"/>
              </w:rPr>
              <w:t xml:space="preserve">Stage 3 candidate</w:t>
            </w:r>
          </w:p>
        </w:tc>
      </w:tr>
      <w:tr>
        <w:tc>
          <w:tcPr>
            <w:tcW w:type="dxa" w:w="4675"/>
            <w:shd w:fill="FFFFFF" w:val="clear"/>
            <w:tcMar>
              <w:top w:type="dxa" w:w="80"/>
              <w:left w:type="dxa" w:w="100"/>
              <w:bottom w:type="dxa" w:w="80"/>
              <w:right w:type="dxa" w:w="100"/>
            </w:tcMar>
          </w:tcPr>
          <w:p>
            <w:r>
              <w:rPr>
                <w:b w:val="false"/>
                <w:bCs w:val="false"/>
              </w:rPr>
              <w:t xml:space="preserve">Streaming ingestion for all 4 existing pillar sources</w:t>
            </w:r>
          </w:p>
        </w:tc>
        <w:tc>
          <w:tcPr>
            <w:tcW w:type="dxa" w:w="4675"/>
            <w:shd w:fill="FFFFFF" w:val="clear"/>
            <w:tcMar>
              <w:top w:type="dxa" w:w="80"/>
              <w:left w:type="dxa" w:w="100"/>
              <w:bottom w:type="dxa" w:w="80"/>
              <w:right w:type="dxa" w:w="100"/>
            </w:tcMar>
          </w:tcPr>
          <w:p>
            <w:r>
              <w:rPr>
                <w:b w:val="false"/>
                <w:bCs w:val="false"/>
              </w:rPr>
              <w:t xml:space="preserve">English/Swahili toggle on the public widget</w:t>
            </w:r>
          </w:p>
        </w:tc>
      </w:tr>
      <w:tr>
        <w:tc>
          <w:tcPr>
            <w:tcW w:type="dxa" w:w="4675"/>
            <w:shd w:fill="EAF2ED" w:val="clear"/>
            <w:tcMar>
              <w:top w:type="dxa" w:w="80"/>
              <w:left w:type="dxa" w:w="100"/>
              <w:bottom w:type="dxa" w:w="80"/>
              <w:right w:type="dxa" w:w="100"/>
            </w:tcMar>
          </w:tcPr>
          <w:p>
            <w:r>
              <w:rPr>
                <w:b w:val="false"/>
                <w:bCs w:val="false"/>
              </w:rPr>
              <w:t xml:space="preserve">Unified identity graph with manual-review queue</w:t>
            </w:r>
          </w:p>
        </w:tc>
        <w:tc>
          <w:tcPr>
            <w:tcW w:type="dxa" w:w="4675"/>
            <w:shd w:fill="EAF2ED" w:val="clear"/>
            <w:tcMar>
              <w:top w:type="dxa" w:w="80"/>
              <w:left w:type="dxa" w:w="100"/>
              <w:bottom w:type="dxa" w:w="80"/>
              <w:right w:type="dxa" w:w="100"/>
            </w:tcMar>
          </w:tcPr>
          <w:p>
            <w:r>
              <w:rPr>
                <w:b w:val="false"/>
                <w:bCs w:val="false"/>
              </w:rPr>
              <w:t xml:space="preserve">Live stakeholder validation of cost-avoidance assumptions</w:t>
            </w:r>
          </w:p>
        </w:tc>
      </w:tr>
      <w:tr>
        <w:tc>
          <w:tcPr>
            <w:tcW w:type="dxa" w:w="4675"/>
            <w:shd w:fill="FFFFFF" w:val="clear"/>
            <w:tcMar>
              <w:top w:type="dxa" w:w="80"/>
              <w:left w:type="dxa" w:w="100"/>
              <w:bottom w:type="dxa" w:w="80"/>
              <w:right w:type="dxa" w:w="100"/>
            </w:tcMar>
          </w:tcPr>
          <w:p>
            <w:r>
              <w:rPr>
                <w:b w:val="false"/>
                <w:bCs w:val="false"/>
              </w:rPr>
              <w:t xml:space="preserve">Admin dashboard + public website widget, both live</w:t>
            </w:r>
          </w:p>
        </w:tc>
        <w:tc>
          <w:tcPr>
            <w:tcW w:type="dxa" w:w="4675"/>
            <w:shd w:fill="FFFFFF" w:val="clear"/>
            <w:tcMar>
              <w:top w:type="dxa" w:w="80"/>
              <w:left w:type="dxa" w:w="100"/>
              <w:bottom w:type="dxa" w:w="80"/>
              <w:right w:type="dxa" w:w="100"/>
            </w:tcMar>
          </w:tcPr>
          <w:p>
            <w:r>
              <w:rPr>
                <w:b w:val="false"/>
                <w:bCs w:val="false"/>
              </w:rPr>
              <w:t xml:space="preserve">Predictive early-warning flags (e.g., re-enrollment risk)</w:t>
            </w:r>
          </w:p>
        </w:tc>
      </w:tr>
      <w:tr>
        <w:tc>
          <w:tcPr>
            <w:tcW w:type="dxa" w:w="4675"/>
            <w:shd w:fill="EAF2ED" w:val="clear"/>
            <w:tcMar>
              <w:top w:type="dxa" w:w="80"/>
              <w:left w:type="dxa" w:w="100"/>
              <w:bottom w:type="dxa" w:w="80"/>
              <w:right w:type="dxa" w:w="100"/>
            </w:tcMar>
          </w:tcPr>
          <w:p>
            <w:r>
              <w:rPr>
                <w:b w:val="false"/>
                <w:bCs w:val="false"/>
              </w:rPr>
              <w:t xml:space="preserve">Offline-capable mobile capture with tested sync</w:t>
            </w:r>
          </w:p>
        </w:tc>
        <w:tc>
          <w:tcPr>
            <w:tcW w:type="dxa" w:w="4675"/>
            <w:shd w:fill="EAF2ED" w:val="clear"/>
            <w:tcMar>
              <w:top w:type="dxa" w:w="80"/>
              <w:left w:type="dxa" w:w="100"/>
              <w:bottom w:type="dxa" w:w="80"/>
              <w:right w:type="dxa" w:w="100"/>
            </w:tcMar>
          </w:tcPr>
          <w:p>
            <w:r>
              <w:rPr>
                <w:b w:val="false"/>
                <w:bCs w:val="false"/>
              </w:rPr>
              <w:t xml:space="preserve">Formal accessibility audit beyond current screen-reader labeling</w:t>
            </w:r>
          </w:p>
        </w:tc>
      </w:tr>
    </w:tbl>
    <w:p>
      <w:pPr>
        <w:spacing w:after="160"/>
      </w:pPr>
      <w:r>
        <w:t xml:space="preserve"/>
      </w:r>
    </w:p>
    <w:p>
      <w:pPr>
        <w:spacing w:after="160"/>
      </w:pPr>
      <w:r>
        <w:rPr>
          <w:i/>
          <w:iCs/>
          <w:color w:val="5B6B63"/>
        </w:rPr>
        <w:t xml:space="preserve">See the companion QA &amp; UAT Evidence Report for test coverage, offline-sync test logs, and UAT notes.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mbria" w:cs="Cambria" w:eastAsia="Cambria" w:hAnsi="Cambria"/>
      <w:b/>
      <w:bCs/>
      <w:color w:val="14503C"/>
      <w:sz w:val="44"/>
      <w:szCs w:val="44"/>
    </w:rPr>
  </w:style>
  <w:style w:type="paragraph" w:styleId="Heading1">
    <w:name w:val="Heading 1"/>
    <w:basedOn w:val="Normal"/>
    <w:next w:val="Normal"/>
    <w:pPr>
      <w:spacing w:after="140" w:before="320"/>
    </w:pPr>
    <w:rPr>
      <w:rFonts w:ascii="Cambria" w:cs="Cambria" w:eastAsia="Cambria" w:hAnsi="Cambria"/>
      <w:b/>
      <w:bCs/>
      <w:color w:val="14503C"/>
      <w:sz w:val="28"/>
      <w:szCs w:val="28"/>
    </w:rPr>
  </w:style>
  <w:style w:type="paragraph" w:styleId="Heading2">
    <w:name w:val="Heading 2"/>
    <w:basedOn w:val="Normal"/>
    <w:next w:val="Normal"/>
    <w:pPr>
      <w:spacing w:after="120" w:before="240"/>
    </w:pPr>
    <w:rPr>
      <w:rFonts w:ascii="Cambria" w:cs="Cambria" w:eastAsia="Cambria" w:hAnsi="Cambria"/>
      <w:b/>
      <w:bCs/>
      <w:color w:val="1F7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2026-08-21T07:04:15.424Z</dcterms:created>
  <dcterms:modified xsi:type="dcterms:W3CDTF">2026-08-21T07:04:15.438Z</dcterms:modified>
</cp:coreProperties>
</file>

<file path=docProps/custom.xml><?xml version="1.0" encoding="utf-8"?>
<Properties xmlns="http://schemas.openxmlformats.org/officeDocument/2006/custom-properties" xmlns:vt="http://schemas.openxmlformats.org/officeDocument/2006/docPropsVTypes"/>
</file>