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ne_page_country_collective_traum_ce79ec"/>
      <w:r>
        <w:rPr>
          <w:rFonts w:eastAsia="source serif 4" w:cs="source serif 4" w:ascii="source serif 4" w:hAnsi="source serif 4"/>
          <w:b/>
          <w:color w:val="000000"/>
          <w:sz w:val="39"/>
        </w:rPr>
        <w:t xml:space="preserve">One-Page Country Collective Trauma Profiles</w:t>
      </w:r>
      <w:bookmarkEnd w:id="0"/>
    </w:p>
    <w:p>
      <w:pPr>
        <w:spacing w:line="360" w:after="210" w:lineRule="auto"/>
      </w:pPr>
      <w:r>
        <w:rPr>
          <w:rFonts w:eastAsia="source serif 4" w:cs="source serif 4" w:ascii="source serif 4" w:hAnsi="source serif 4"/>
          <w:color w:val="000000"/>
        </w:rPr>
        <w:t xml:space="preserve">These visitor-facing country profiles synthesize each country’s historical trajectory with two dashboard measures: the Global Trauma Burden Index (GTBI), which captures broader background trauma exposure, and the Electoral Trauma and Tension Index (ETTI), which captures election-cycle trauma across four ITTI-relevant focus areas: election-related violence and deaths (EVS), threats and intimidation (TIE), psychosocial distress and disruption (PDL), and institutional trauma and strain (ITS) (International IDEA, n.d.). The profiles are written for Observatory use, so each narrative links contemporary country history to the ways collective trauma can accumulate through violence, coercion, fear, and weakened democratic trust (International IDEA, n.d.).</w:t>
      </w:r>
    </w:p>
    <w:p>
      <w:pPr>
        <w:spacing w:line="360" w:before="315" w:after="105" w:lineRule="auto"/>
        <w:ind w:left="-30"/>
        <w:jc w:val="left"/>
      </w:pPr>
      <w:bookmarkStart w:id="1" w:name="brazil"/>
      <w:r>
        <w:rPr>
          <w:rFonts w:eastAsia="source serif 4" w:cs="source serif 4" w:ascii="source serif 4" w:hAnsi="source serif 4"/>
          <w:b/>
          <w:color w:val="000000"/>
          <w:sz w:val="24"/>
        </w:rPr>
        <w:t xml:space="preserve">Brazil</w:t>
      </w:r>
      <w:bookmarkEnd w:id="1"/>
    </w:p>
    <w:p>
      <w:pPr>
        <w:spacing w:line="360" w:after="210" w:lineRule="auto"/>
      </w:pPr>
      <w:r>
        <w:rPr>
          <w:rFonts w:eastAsia="source serif 4" w:cs="source serif 4" w:ascii="source serif 4" w:hAnsi="source serif 4"/>
          <w:color w:val="000000"/>
        </w:rPr>
        <w:t xml:space="preserve">Brazil shows a GTBI score of 26.5 and a mean ETTI score of 65.8, placing the country’s recent electoral cycles within a broader trauma setting shaped by communal violence. In the ETTI profile, the strongest component is PDL at 77.1, indicating that population distress and wider psychosocial disruption is the most salient election-cycle channel through which collective trauma is expressed in the dashboard data.</w:t>
      </w:r>
    </w:p>
    <w:p>
      <w:pPr>
        <w:spacing w:line="360" w:after="210" w:lineRule="auto"/>
      </w:pPr>
      <w:r>
        <w:rPr>
          <w:rFonts w:eastAsia="source serif 4" w:cs="source serif 4" w:ascii="source serif 4" w:hAnsi="source serif 4"/>
          <w:color w:val="000000"/>
        </w:rPr>
        <w:t xml:space="preserve">Historically, Brazil’s democracy has been marked by sharp polarization, institutional contestation, and periodic surges of anti-system mobilization that deepen mistrust and social division (Hunter &amp; Power, 2019; Delivorias &amp; Lazarou, 2023). Read together, the GTBI and ETTI scores suggest that Brazil’s country profile should be interpreted as a blend of longer-run trauma exposure and election-specific pressures, with the strongest signal appearing in psychosocial distress rather than institutional breakdown alone.</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Hunter, W., &amp; Power, T. J. (2019). Bolsonaro and Brazil’s illiberal backlash. </w:t>
      </w:r>
      <w:r>
        <w:rPr>
          <w:rFonts w:eastAsia="source serif 4" w:cs="source serif 4" w:ascii="source serif 4" w:hAnsi="source serif 4"/>
          <w:i/>
          <w:color w:val="000000"/>
        </w:rPr>
        <w:t xml:space="preserve">Journal of Democracy, 30</w:t>
      </w:r>
      <w:r>
        <w:rPr>
          <w:rFonts w:eastAsia="source serif 4" w:cs="source serif 4" w:ascii="source serif 4" w:hAnsi="source serif 4"/>
          <w:color w:val="000000"/>
        </w:rPr>
        <w:t xml:space="preserve">(1), 68–82.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Delivorias, A., &amp; Lazarou, E. (2023). </w:t>
      </w:r>
      <w:r>
        <w:rPr>
          <w:rFonts w:eastAsia="source serif 4" w:cs="source serif 4" w:ascii="source serif 4" w:hAnsi="source serif 4"/>
          <w:i/>
          <w:color w:val="000000"/>
        </w:rPr>
        <w:t xml:space="preserve">Brazilian democracy in the aftermath of 8 January</w:t>
      </w:r>
      <w:r>
        <w:rPr>
          <w:rFonts w:eastAsia="source serif 4" w:cs="source serif 4" w:ascii="source serif 4" w:hAnsi="source serif 4"/>
          <w:color w:val="000000"/>
        </w:rPr>
        <w:t xml:space="preserve">. European Parliamentary Research Service.</w:t>
      </w:r>
    </w:p>
    <w:p>
      <w:pPr>
        <w:spacing w:line="360" w:before="315" w:after="105" w:lineRule="auto"/>
        <w:ind w:left="-30"/>
        <w:jc w:val="left"/>
      </w:pPr>
      <w:bookmarkStart w:id="2" w:name="democratic_republic_of_the_congo"/>
      <w:r>
        <w:rPr>
          <w:rFonts w:eastAsia="source serif 4" w:cs="source serif 4" w:ascii="source serif 4" w:hAnsi="source serif 4"/>
          <w:b/>
          <w:color w:val="000000"/>
          <w:sz w:val="24"/>
        </w:rPr>
        <w:t xml:space="preserve">Democratic Republic of the Congo</w:t>
      </w:r>
      <w:bookmarkEnd w:id="2"/>
    </w:p>
    <w:p>
      <w:pPr>
        <w:spacing w:line="360" w:after="210" w:lineRule="auto"/>
      </w:pPr>
      <w:r>
        <w:rPr>
          <w:rFonts w:eastAsia="source serif 4" w:cs="source serif 4" w:ascii="source serif 4" w:hAnsi="source serif 4"/>
          <w:color w:val="000000"/>
        </w:rPr>
        <w:t xml:space="preserve">The Democratic Republic of the Congo shows a GTBI score of 45.9 and a mean ETTI score of 30.3, placing the country’s recent electoral cycles within a broader trauma setting shaped by forced displacement. In the ETTI profile, the strongest component is EVS at 51.9, indicating that election-related violence and severe incidents are the most salient election-cycle channels through which collective trauma is expressed in the dashboard data.</w:t>
      </w:r>
    </w:p>
    <w:p>
      <w:pPr>
        <w:spacing w:line="360" w:after="210" w:lineRule="auto"/>
      </w:pPr>
      <w:r>
        <w:rPr>
          <w:rFonts w:eastAsia="source serif 4" w:cs="source serif 4" w:ascii="source serif 4" w:hAnsi="source serif 4"/>
          <w:color w:val="000000"/>
        </w:rPr>
        <w:t xml:space="preserve">Historically, the DRC has faced protracted conflict, displacement, weak territorial control, and fragile democratic consolidation, all of which intensify the trauma burden carried into election periods (Stearns, 2012; International Crisis Group, 2023). Read together, the GTBI and ETTI scores suggest that the country’s collective trauma profile is anchored in chronic background insecurity that can become more acute during elections through violence, coercion, and heightened public fear.</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Stearns, J. K. (2012). </w:t>
      </w:r>
      <w:r>
        <w:rPr>
          <w:rFonts w:eastAsia="source serif 4" w:cs="source serif 4" w:ascii="source serif 4" w:hAnsi="source serif 4"/>
          <w:i/>
          <w:color w:val="000000"/>
        </w:rPr>
        <w:t xml:space="preserve">Dancing in the glory of monsters</w:t>
      </w:r>
      <w:r>
        <w:rPr>
          <w:rFonts w:eastAsia="source serif 4" w:cs="source serif 4" w:ascii="source serif 4" w:hAnsi="source serif 4"/>
          <w:color w:val="000000"/>
        </w:rPr>
        <w:t xml:space="preserve">. PublicAffairs.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International Crisis Group. (2023). </w:t>
      </w:r>
      <w:r>
        <w:rPr>
          <w:rFonts w:eastAsia="source serif 4" w:cs="source serif 4" w:ascii="source serif 4" w:hAnsi="source serif 4"/>
          <w:i/>
          <w:color w:val="000000"/>
        </w:rPr>
        <w:t xml:space="preserve">Congo: Elections amid uncertainty</w:t>
      </w:r>
      <w:r>
        <w:rPr>
          <w:rFonts w:eastAsia="source serif 4" w:cs="source serif 4" w:ascii="source serif 4" w:hAnsi="source serif 4"/>
          <w:color w:val="000000"/>
        </w:rPr>
        <w:t xml:space="preserve">.</w:t>
      </w:r>
    </w:p>
    <w:p>
      <w:pPr>
        <w:spacing w:line="360" w:before="315" w:after="105" w:lineRule="auto"/>
        <w:ind w:left="-30"/>
        <w:jc w:val="left"/>
      </w:pPr>
      <w:bookmarkStart w:id="3" w:name="ghana"/>
      <w:r>
        <w:rPr>
          <w:rFonts w:eastAsia="source serif 4" w:cs="source serif 4" w:ascii="source serif 4" w:hAnsi="source serif 4"/>
          <w:b/>
          <w:color w:val="000000"/>
          <w:sz w:val="24"/>
        </w:rPr>
        <w:t xml:space="preserve">Ghana</w:t>
      </w:r>
      <w:bookmarkEnd w:id="3"/>
    </w:p>
    <w:p>
      <w:pPr>
        <w:spacing w:line="360" w:after="210" w:lineRule="auto"/>
      </w:pPr>
      <w:r>
        <w:rPr>
          <w:rFonts w:eastAsia="source serif 4" w:cs="source serif 4" w:ascii="source serif 4" w:hAnsi="source serif 4"/>
          <w:color w:val="000000"/>
        </w:rPr>
        <w:t xml:space="preserve">Ghana shows a GTBI score of 5.1 and a mean ETTI score of 1.3, placing the country’s recent electoral cycles within a broader trauma setting shaped by communal violence. In the ETTI profile, the strongest component is PDL at 1.9, indicating that population distress and wider psychosocial disruption is the most salient election-cycle channel, though still at very low levels overall.</w:t>
      </w:r>
    </w:p>
    <w:p>
      <w:pPr>
        <w:spacing w:line="360" w:after="210" w:lineRule="auto"/>
      </w:pPr>
      <w:r>
        <w:rPr>
          <w:rFonts w:eastAsia="source serif 4" w:cs="source serif 4" w:ascii="source serif 4" w:hAnsi="source serif 4"/>
          <w:color w:val="000000"/>
        </w:rPr>
        <w:t xml:space="preserve">Historically, Ghana is widely regarded as one of West Africa’s more stable electoral democracies, with competitive politics managed through institutions that have generally retained public legitimacy (Gyimah-Boadi &amp; Asante, 2021). Read together, the GTBI and ETTI scores position Ghana as a low-trauma reference case where election-related pressures exist but remain comparatively contained across violence, intimidation, distress, and institutional strain.</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Gyimah-Boadi, E., &amp; Asante, R. (2021). Consolidating Ghana’s democracy in the face of challenges. </w:t>
      </w:r>
      <w:r>
        <w:rPr>
          <w:rFonts w:eastAsia="source serif 4" w:cs="source serif 4" w:ascii="source serif 4" w:hAnsi="source serif 4"/>
          <w:i/>
          <w:color w:val="000000"/>
        </w:rPr>
        <w:t xml:space="preserve">Africa Spectrum, 56</w:t>
      </w:r>
      <w:r>
        <w:rPr>
          <w:rFonts w:eastAsia="source serif 4" w:cs="source serif 4" w:ascii="source serif 4" w:hAnsi="source serif 4"/>
          <w:color w:val="000000"/>
        </w:rPr>
        <w:t xml:space="preserve">(3), 287–305.</w:t>
      </w:r>
    </w:p>
    <w:p>
      <w:pPr>
        <w:spacing w:line="360" w:before="315" w:after="105" w:lineRule="auto"/>
        <w:ind w:left="-30"/>
        <w:jc w:val="left"/>
      </w:pPr>
      <w:bookmarkStart w:id="4" w:name="india"/>
      <w:r>
        <w:rPr>
          <w:rFonts w:eastAsia="source serif 4" w:cs="source serif 4" w:ascii="source serif 4" w:hAnsi="source serif 4"/>
          <w:b/>
          <w:color w:val="000000"/>
          <w:sz w:val="24"/>
        </w:rPr>
        <w:t xml:space="preserve">India</w:t>
      </w:r>
      <w:bookmarkEnd w:id="4"/>
    </w:p>
    <w:p>
      <w:pPr>
        <w:spacing w:line="360" w:after="210" w:lineRule="auto"/>
      </w:pPr>
      <w:r>
        <w:rPr>
          <w:rFonts w:eastAsia="source serif 4" w:cs="source serif 4" w:ascii="source serif 4" w:hAnsi="source serif 4"/>
          <w:color w:val="000000"/>
        </w:rPr>
        <w:t xml:space="preserve">India shows a mean ETTI score of 58.0, placing the country’s recent electoral cycles in a high election-related trauma range on the basis of the ETTI data alone. In the ETTI profile, the strongest component is ITS at 90.0, indicating that institutional trauma and governance strain is the most salient election-cycle channel through which collective trauma is expressed in the dashboard data.</w:t>
      </w:r>
    </w:p>
    <w:p>
      <w:pPr>
        <w:spacing w:line="360" w:after="210" w:lineRule="auto"/>
      </w:pPr>
      <w:r>
        <w:rPr>
          <w:rFonts w:eastAsia="source serif 4" w:cs="source serif 4" w:ascii="source serif 4" w:hAnsi="source serif 4"/>
          <w:color w:val="000000"/>
        </w:rPr>
        <w:t xml:space="preserve">Historically, India’s democratic trajectory combines high electoral participation with intensifying polarization, pressures on pluralism, and contestation over institutional neutrality and civic protections (Jaffrelot, 2021; Vaishnav, 2019). Read through the ITTI lens, the ETTI profile suggests that election-related collective trauma in India is expressed less through exceptionally high direct violence than through cumulative strain on institutions, public trust, and the broader psychosocial climate surrounding competition for power.</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Jaffrelot, C. (2021). </w:t>
      </w:r>
      <w:r>
        <w:rPr>
          <w:rFonts w:eastAsia="source serif 4" w:cs="source serif 4" w:ascii="source serif 4" w:hAnsi="source serif 4"/>
          <w:i/>
          <w:color w:val="000000"/>
        </w:rPr>
        <w:t xml:space="preserve">Modi’s India: Hindu nationalism and the rise of ethnic democracy</w:t>
      </w:r>
      <w:r>
        <w:rPr>
          <w:rFonts w:eastAsia="source serif 4" w:cs="source serif 4" w:ascii="source serif 4" w:hAnsi="source serif 4"/>
          <w:color w:val="000000"/>
        </w:rPr>
        <w:t xml:space="preserve">. Princeton University Press.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Vaishnav, M. (2019). </w:t>
      </w:r>
      <w:r>
        <w:rPr>
          <w:rFonts w:eastAsia="source serif 4" w:cs="source serif 4" w:ascii="source serif 4" w:hAnsi="source serif 4"/>
          <w:i/>
          <w:color w:val="000000"/>
        </w:rPr>
        <w:t xml:space="preserve">The battle for India’s institutions</w:t>
      </w:r>
      <w:r>
        <w:rPr>
          <w:rFonts w:eastAsia="source serif 4" w:cs="source serif 4" w:ascii="source serif 4" w:hAnsi="source serif 4"/>
          <w:color w:val="000000"/>
        </w:rPr>
        <w:t xml:space="preserve">. Carnegie Endowment for International Peace.</w:t>
      </w:r>
    </w:p>
    <w:p>
      <w:pPr>
        <w:spacing w:line="360" w:before="315" w:after="105" w:lineRule="auto"/>
        <w:ind w:left="-30"/>
        <w:jc w:val="left"/>
      </w:pPr>
      <w:bookmarkStart w:id="5" w:name="indonesia"/>
      <w:r>
        <w:rPr>
          <w:rFonts w:eastAsia="source serif 4" w:cs="source serif 4" w:ascii="source serif 4" w:hAnsi="source serif 4"/>
          <w:b/>
          <w:color w:val="000000"/>
          <w:sz w:val="24"/>
        </w:rPr>
        <w:t xml:space="preserve">Indonesia</w:t>
      </w:r>
      <w:bookmarkEnd w:id="5"/>
    </w:p>
    <w:p>
      <w:pPr>
        <w:spacing w:line="360" w:after="210" w:lineRule="auto"/>
      </w:pPr>
      <w:r>
        <w:rPr>
          <w:rFonts w:eastAsia="source serif 4" w:cs="source serif 4" w:ascii="source serif 4" w:hAnsi="source serif 4"/>
          <w:color w:val="000000"/>
        </w:rPr>
        <w:t xml:space="preserve">Indonesia shows a GTBI score of 2.8 and a mean ETTI score of 5.0, placing the country’s recent electoral cycles within a broader trauma setting shaped by disaster-linked trauma exposure. In the ETTI profile, the strongest component is ITS at 10.2, indicating that institutional trauma and governance strain is the most salient election-cycle channel in the dashboard data.</w:t>
      </w:r>
    </w:p>
    <w:p>
      <w:pPr>
        <w:spacing w:line="360" w:after="210" w:lineRule="auto"/>
      </w:pPr>
      <w:r>
        <w:rPr>
          <w:rFonts w:eastAsia="source serif 4" w:cs="source serif 4" w:ascii="source serif 4" w:hAnsi="source serif 4"/>
          <w:color w:val="000000"/>
        </w:rPr>
        <w:t xml:space="preserve">Historically, Indonesia has combined democratic competition with uneven institutional consolidation, local conflict legacies, and episodes of polarization that test but do not usually overwhelm the electoral system (Aspinall &amp; Mietzner, 2019). Read together, the GTBI and ETTI scores suggest a country where the background trauma burden is relatively modest but where election cycles still generate measurable institutional and psychosocial stress.</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Aspinall, E., &amp; Mietzner, M. (2019). </w:t>
      </w:r>
      <w:r>
        <w:rPr>
          <w:rFonts w:eastAsia="source serif 4" w:cs="source serif 4" w:ascii="source serif 4" w:hAnsi="source serif 4"/>
          <w:i/>
          <w:color w:val="000000"/>
        </w:rPr>
        <w:t xml:space="preserve">Indonesia’s democratic paradox: Competitive elections amid rising illiberalism</w:t>
      </w:r>
      <w:r>
        <w:rPr>
          <w:rFonts w:eastAsia="source serif 4" w:cs="source serif 4" w:ascii="source serif 4" w:hAnsi="source serif 4"/>
          <w:color w:val="000000"/>
        </w:rPr>
        <w:t xml:space="preserve">. ISEAS–Yusof Ishak Institute.</w:t>
      </w:r>
    </w:p>
    <w:p>
      <w:pPr>
        <w:spacing w:line="360" w:before="315" w:after="105" w:lineRule="auto"/>
        <w:ind w:left="-30"/>
        <w:jc w:val="left"/>
      </w:pPr>
      <w:bookmarkStart w:id="6" w:name="iran"/>
      <w:r>
        <w:rPr>
          <w:rFonts w:eastAsia="source serif 4" w:cs="source serif 4" w:ascii="source serif 4" w:hAnsi="source serif 4"/>
          <w:b/>
          <w:color w:val="000000"/>
          <w:sz w:val="24"/>
        </w:rPr>
        <w:t xml:space="preserve">Iran</w:t>
      </w:r>
      <w:bookmarkEnd w:id="6"/>
    </w:p>
    <w:p>
      <w:pPr>
        <w:spacing w:line="360" w:after="210" w:lineRule="auto"/>
      </w:pPr>
      <w:r>
        <w:rPr>
          <w:rFonts w:eastAsia="source serif 4" w:cs="source serif 4" w:ascii="source serif 4" w:hAnsi="source serif 4"/>
          <w:color w:val="000000"/>
        </w:rPr>
        <w:t xml:space="preserve">Iran shows a GTBI score of 12.6 and a mean ETTI score of 5.3, placing the country’s recent electoral cycles within a broader trauma setting shaped by forced displacement. In the ETTI profile, the strongest component is ITS at 15.1, indicating that institutional trauma and governance strain is the most salient election-cycle channel through which collective trauma is expressed in the dashboard data.</w:t>
      </w:r>
    </w:p>
    <w:p>
      <w:pPr>
        <w:spacing w:line="360" w:after="210" w:lineRule="auto"/>
      </w:pPr>
      <w:r>
        <w:rPr>
          <w:rFonts w:eastAsia="source serif 4" w:cs="source serif 4" w:ascii="source serif 4" w:hAnsi="source serif 4"/>
          <w:color w:val="000000"/>
        </w:rPr>
        <w:t xml:space="preserve">Historically, Iran’s electoral arena operates within a constrained political system marked by elite filtering, periodic protest waves, and coercive responses that shape public perceptions of voice and accountability (Azizi, 2024; Vakil, 2023). Read together, the GTBI and ETTI scores suggest that Iran’s election-related trauma profile is driven less by high election-window fatalities than by broader institutional stress, repression, and accumulated fear in the public sphere.</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Azizi, H. (2024). </w:t>
      </w:r>
      <w:r>
        <w:rPr>
          <w:rFonts w:eastAsia="source serif 4" w:cs="source serif 4" w:ascii="source serif 4" w:hAnsi="source serif 4"/>
          <w:i/>
          <w:color w:val="000000"/>
        </w:rPr>
        <w:t xml:space="preserve">Iran after the 2024 presidential election</w:t>
      </w:r>
      <w:r>
        <w:rPr>
          <w:rFonts w:eastAsia="source serif 4" w:cs="source serif 4" w:ascii="source serif 4" w:hAnsi="source serif 4"/>
          <w:color w:val="000000"/>
        </w:rPr>
        <w:t xml:space="preserve">. German Institute for International and Security Affairs.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Vakil, S. (2023). </w:t>
      </w:r>
      <w:r>
        <w:rPr>
          <w:rFonts w:eastAsia="source serif 4" w:cs="source serif 4" w:ascii="source serif 4" w:hAnsi="source serif 4"/>
          <w:i/>
          <w:color w:val="000000"/>
        </w:rPr>
        <w:t xml:space="preserve">Iran’s protest cycle and the crisis of legitimacy</w:t>
      </w:r>
      <w:r>
        <w:rPr>
          <w:rFonts w:eastAsia="source serif 4" w:cs="source serif 4" w:ascii="source serif 4" w:hAnsi="source serif 4"/>
          <w:color w:val="000000"/>
        </w:rPr>
        <w:t xml:space="preserve">. Chatham House.</w:t>
      </w:r>
    </w:p>
    <w:p>
      <w:pPr>
        <w:spacing w:line="360" w:before="315" w:after="105" w:lineRule="auto"/>
        <w:ind w:left="-30"/>
        <w:jc w:val="left"/>
      </w:pPr>
      <w:bookmarkStart w:id="7" w:name="israel"/>
      <w:r>
        <w:rPr>
          <w:rFonts w:eastAsia="source serif 4" w:cs="source serif 4" w:ascii="source serif 4" w:hAnsi="source serif 4"/>
          <w:b/>
          <w:color w:val="000000"/>
          <w:sz w:val="24"/>
        </w:rPr>
        <w:t xml:space="preserve">Israel</w:t>
      </w:r>
      <w:bookmarkEnd w:id="7"/>
    </w:p>
    <w:p>
      <w:pPr>
        <w:spacing w:line="360" w:after="210" w:lineRule="auto"/>
      </w:pPr>
      <w:r>
        <w:rPr>
          <w:rFonts w:eastAsia="source serif 4" w:cs="source serif 4" w:ascii="source serif 4" w:hAnsi="source serif 4"/>
          <w:color w:val="000000"/>
        </w:rPr>
        <w:t xml:space="preserve">Israel shows a mean ETTI score of 3.6, placing the country’s recent electoral cycles in a comparatively low election-related trauma range on the basis of the ETTI data alone. In the ETTI profile, the strongest component is PDL at 5.3, indicating that population distress and wider psychosocial disruption is the most salient election-cycle channel in the dashboard data.</w:t>
      </w:r>
    </w:p>
    <w:p>
      <w:pPr>
        <w:spacing w:line="360" w:after="210" w:lineRule="auto"/>
      </w:pPr>
      <w:r>
        <w:rPr>
          <w:rFonts w:eastAsia="source serif 4" w:cs="source serif 4" w:ascii="source serif 4" w:hAnsi="source serif 4"/>
          <w:color w:val="000000"/>
        </w:rPr>
        <w:t xml:space="preserve">Historically, Israel’s political system has combined repeated elections, intense ideological division, and deep security-centered social cleavages that shape public stress and democratic contestation (Arian, Shamir, &amp; Venturini, 2020; Hermann et al., 2023). Read through the ITTI lens, the ETTI profile suggests that the principal election-related burden here is not exceptionally high direct violence but the cumulative effects of polarization, uncertainty, and social strain carried through repeated cycles of contestation.</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Arian, A., Shamir, M., &amp; Venturini, A. (2020). </w:t>
      </w:r>
      <w:r>
        <w:rPr>
          <w:rFonts w:eastAsia="source serif 4" w:cs="source serif 4" w:ascii="source serif 4" w:hAnsi="source serif 4"/>
          <w:i/>
          <w:color w:val="000000"/>
        </w:rPr>
        <w:t xml:space="preserve">The elections in Israel and the crisis of governability</w:t>
      </w:r>
      <w:r>
        <w:rPr>
          <w:rFonts w:eastAsia="source serif 4" w:cs="source serif 4" w:ascii="source serif 4" w:hAnsi="source serif 4"/>
          <w:color w:val="000000"/>
        </w:rPr>
        <w:t xml:space="preserve">. Israel Democracy Institute.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Hermann, T., Anabi, O., Heller, E., &amp; Cubbison, W. (2023). </w:t>
      </w:r>
      <w:r>
        <w:rPr>
          <w:rFonts w:eastAsia="source serif 4" w:cs="source serif 4" w:ascii="source serif 4" w:hAnsi="source serif 4"/>
          <w:i/>
          <w:color w:val="000000"/>
        </w:rPr>
        <w:t xml:space="preserve">The Israeli democracy index 2023</w:t>
      </w:r>
      <w:r>
        <w:rPr>
          <w:rFonts w:eastAsia="source serif 4" w:cs="source serif 4" w:ascii="source serif 4" w:hAnsi="source serif 4"/>
          <w:color w:val="000000"/>
        </w:rPr>
        <w:t xml:space="preserve">. Israel Democracy Institute.</w:t>
      </w:r>
    </w:p>
    <w:p>
      <w:pPr>
        <w:spacing w:line="360" w:before="315" w:after="105" w:lineRule="auto"/>
        <w:ind w:left="-30"/>
        <w:jc w:val="left"/>
      </w:pPr>
      <w:bookmarkStart w:id="8" w:name="kenya"/>
      <w:r>
        <w:rPr>
          <w:rFonts w:eastAsia="source serif 4" w:cs="source serif 4" w:ascii="source serif 4" w:hAnsi="source serif 4"/>
          <w:b/>
          <w:color w:val="000000"/>
          <w:sz w:val="24"/>
        </w:rPr>
        <w:t xml:space="preserve">Kenya</w:t>
      </w:r>
      <w:bookmarkEnd w:id="8"/>
    </w:p>
    <w:p>
      <w:pPr>
        <w:spacing w:line="360" w:after="210" w:lineRule="auto"/>
      </w:pPr>
      <w:r>
        <w:rPr>
          <w:rFonts w:eastAsia="source serif 4" w:cs="source serif 4" w:ascii="source serif 4" w:hAnsi="source serif 4"/>
          <w:color w:val="000000"/>
        </w:rPr>
        <w:t xml:space="preserve">Kenya shows a GTBI score of 28.3 and a mean ETTI score of 5.2, placing the country’s recent electoral cycles within a broader trauma setting shaped by forced displacement. In the ETTI profile, the strongest component is PDL at 6.6, indicating that population distress and wider psychosocial disruption is the most salient election-cycle channel in the dashboard data.</w:t>
      </w:r>
    </w:p>
    <w:p>
      <w:pPr>
        <w:spacing w:line="360" w:after="210" w:lineRule="auto"/>
      </w:pPr>
      <w:r>
        <w:rPr>
          <w:rFonts w:eastAsia="source serif 4" w:cs="source serif 4" w:ascii="source serif 4" w:hAnsi="source serif 4"/>
          <w:color w:val="000000"/>
        </w:rPr>
        <w:t xml:space="preserve">Historically, Kenya’s elections have been shaped by ethnicized competition, local violence, and the long shadow of the 2007–2008 post-election crisis, even as institutional reforms have reduced the likelihood of extreme nationwide breakdown (Cheeseman, Lynch, &amp; Willis, 2019; Mueller, 2018). Read together, the GTBI and ETTI scores suggest a country where collective trauma remains tied to the memory and risk of electoral conflict, with psychosocial disruption remaining a central pathway even when direct violence is more limited than in the worst cases.</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Cheeseman, N., Lynch, G., &amp; Willis, J. (2019). Decentralisation in Kenya: The governance of governors. </w:t>
      </w:r>
      <w:r>
        <w:rPr>
          <w:rFonts w:eastAsia="source serif 4" w:cs="source serif 4" w:ascii="source serif 4" w:hAnsi="source serif 4"/>
          <w:i/>
          <w:color w:val="000000"/>
        </w:rPr>
        <w:t xml:space="preserve">Journal of Modern African Studies, 57</w:t>
      </w:r>
      <w:r>
        <w:rPr>
          <w:rFonts w:eastAsia="source serif 4" w:cs="source serif 4" w:ascii="source serif 4" w:hAnsi="source serif 4"/>
          <w:color w:val="000000"/>
        </w:rPr>
        <w:t xml:space="preserve">(1), 1–23.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Mueller, S. D. (2018). Political vigilantism in Kenya after the 2017 elections. </w:t>
      </w:r>
      <w:r>
        <w:rPr>
          <w:rFonts w:eastAsia="source serif 4" w:cs="source serif 4" w:ascii="source serif 4" w:hAnsi="source serif 4"/>
          <w:i/>
          <w:color w:val="000000"/>
        </w:rPr>
        <w:t xml:space="preserve">Journal of Eastern African Studies, 12</w:t>
      </w:r>
      <w:r>
        <w:rPr>
          <w:rFonts w:eastAsia="source serif 4" w:cs="source serif 4" w:ascii="source serif 4" w:hAnsi="source serif 4"/>
          <w:color w:val="000000"/>
        </w:rPr>
        <w:t xml:space="preserve">(3), 564–578.</w:t>
      </w:r>
    </w:p>
    <w:p>
      <w:pPr>
        <w:spacing w:line="360" w:before="315" w:after="105" w:lineRule="auto"/>
        <w:ind w:left="-30"/>
        <w:jc w:val="left"/>
      </w:pPr>
      <w:bookmarkStart w:id="9" w:name="mexico"/>
      <w:r>
        <w:rPr>
          <w:rFonts w:eastAsia="source serif 4" w:cs="source serif 4" w:ascii="source serif 4" w:hAnsi="source serif 4"/>
          <w:b/>
          <w:color w:val="000000"/>
          <w:sz w:val="24"/>
        </w:rPr>
        <w:t xml:space="preserve">Mexico</w:t>
      </w:r>
      <w:bookmarkEnd w:id="9"/>
    </w:p>
    <w:p>
      <w:pPr>
        <w:spacing w:line="360" w:after="210" w:lineRule="auto"/>
      </w:pPr>
      <w:r>
        <w:rPr>
          <w:rFonts w:eastAsia="source serif 4" w:cs="source serif 4" w:ascii="source serif 4" w:hAnsi="source serif 4"/>
          <w:color w:val="000000"/>
        </w:rPr>
        <w:t xml:space="preserve">Mexico shows a GTBI score of 27.4 and a mean ETTI score of 82.0, placing the country’s recent electoral cycles within a broader trauma setting shaped by communal violence. In the ETTI profile, the strongest component is EVS at 95.1, indicating that election-related violence and severe incidents are the most salient election-cycle channels through which collective trauma is expressed in the dashboard data.</w:t>
      </w:r>
    </w:p>
    <w:p>
      <w:pPr>
        <w:spacing w:line="360" w:after="210" w:lineRule="auto"/>
      </w:pPr>
      <w:r>
        <w:rPr>
          <w:rFonts w:eastAsia="source serif 4" w:cs="source serif 4" w:ascii="source serif 4" w:hAnsi="source serif 4"/>
          <w:color w:val="000000"/>
        </w:rPr>
        <w:t xml:space="preserve">Historically, Mexico’s democratic competition has been increasingly shaped by organized criminal violence, local capture, and coercive pressures on candidates, officials, journalists, and communities (Schedler, 2022; Council on Foreign Relations, 2024). Read together, the GTBI and ETTI scores suggest a country where background trauma and election-cycle trauma strongly reinforce one another, with the election arena itself becoming a site of lethal risk, intimidation, and broad psychosocial destabilization.</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Schedler, A. (2022). Making sense of electoral violence: The narrative frame of organised crime in Mexico. </w:t>
      </w:r>
      <w:r>
        <w:rPr>
          <w:rFonts w:eastAsia="source serif 4" w:cs="source serif 4" w:ascii="source serif 4" w:hAnsi="source serif 4"/>
          <w:i/>
          <w:color w:val="000000"/>
        </w:rPr>
        <w:t xml:space="preserve">Journal of Latin American Studies, 54</w:t>
      </w:r>
      <w:r>
        <w:rPr>
          <w:rFonts w:eastAsia="source serif 4" w:cs="source serif 4" w:ascii="source serif 4" w:hAnsi="source serif 4"/>
          <w:color w:val="000000"/>
        </w:rPr>
        <w:t xml:space="preserve">(3), 437–465.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Council on Foreign Relations. (2024). </w:t>
      </w:r>
      <w:r>
        <w:rPr>
          <w:rFonts w:eastAsia="source serif 4" w:cs="source serif 4" w:ascii="source serif 4" w:hAnsi="source serif 4"/>
          <w:i/>
          <w:color w:val="000000"/>
        </w:rPr>
        <w:t xml:space="preserve">Organized crime fuels Mexico’s election violence</w:t>
      </w:r>
      <w:r>
        <w:rPr>
          <w:rFonts w:eastAsia="source serif 4" w:cs="source serif 4" w:ascii="source serif 4" w:hAnsi="source serif 4"/>
          <w:color w:val="000000"/>
        </w:rPr>
        <w:t xml:space="preserve">.</w:t>
      </w:r>
    </w:p>
    <w:p>
      <w:pPr>
        <w:spacing w:line="360" w:before="315" w:after="105" w:lineRule="auto"/>
        <w:ind w:left="-30"/>
        <w:jc w:val="left"/>
      </w:pPr>
      <w:bookmarkStart w:id="10" w:name="nigeria"/>
      <w:r>
        <w:rPr>
          <w:rFonts w:eastAsia="source serif 4" w:cs="source serif 4" w:ascii="source serif 4" w:hAnsi="source serif 4"/>
          <w:b/>
          <w:color w:val="000000"/>
          <w:sz w:val="24"/>
        </w:rPr>
        <w:t xml:space="preserve">Nigeria</w:t>
      </w:r>
      <w:bookmarkEnd w:id="10"/>
    </w:p>
    <w:p>
      <w:pPr>
        <w:spacing w:line="360" w:after="210" w:lineRule="auto"/>
      </w:pPr>
      <w:r>
        <w:rPr>
          <w:rFonts w:eastAsia="source serif 4" w:cs="source serif 4" w:ascii="source serif 4" w:hAnsi="source serif 4"/>
          <w:color w:val="000000"/>
        </w:rPr>
        <w:t xml:space="preserve">Nigeria shows a GTBI score of 38.9 and a mean ETTI score of 39.5, placing the country’s recent electoral cycles within a broader trauma setting shaped by armed conflict. In the ETTI profile, the strongest component is EVS at 78.4, indicating that election-related violence and severe incidents are the most salient election-cycle channels through which collective trauma is expressed in the dashboard data.</w:t>
      </w:r>
    </w:p>
    <w:p>
      <w:pPr>
        <w:spacing w:line="360" w:after="210" w:lineRule="auto"/>
      </w:pPr>
      <w:r>
        <w:rPr>
          <w:rFonts w:eastAsia="source serif 4" w:cs="source serif 4" w:ascii="source serif 4" w:hAnsi="source serif 4"/>
          <w:color w:val="000000"/>
        </w:rPr>
        <w:t xml:space="preserve">Historically, Nigeria’s democracy has unfolded amid insurgency, banditry, communal conflict, regional inequality, and electoral malpractice, all of which heighten insecurity during moments of political competition (Reuters, 2023; Ojo, 2016). Read together, the GTBI and ETTI scores suggest that Nigeria’s country profile is shaped by both chronic violence in the wider environment and acute election-period spikes in insecurity, intimidation, and public distress.</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Ojo, E. O. (2016). An appraisal of the 2011 general elections. </w:t>
      </w:r>
      <w:r>
        <w:rPr>
          <w:rFonts w:eastAsia="source serif 4" w:cs="source serif 4" w:ascii="source serif 4" w:hAnsi="source serif 4"/>
          <w:i/>
          <w:color w:val="000000"/>
        </w:rPr>
        <w:t xml:space="preserve">Journal of African Elections, 15</w:t>
      </w:r>
      <w:r>
        <w:rPr>
          <w:rFonts w:eastAsia="source serif 4" w:cs="source serif 4" w:ascii="source serif 4" w:hAnsi="source serif 4"/>
          <w:color w:val="000000"/>
        </w:rPr>
        <w:t xml:space="preserve">(1).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Reuters. (2023, February 17). </w:t>
      </w:r>
      <w:r>
        <w:rPr>
          <w:rFonts w:eastAsia="source serif 4" w:cs="source serif 4" w:ascii="source serif 4" w:hAnsi="source serif 4"/>
          <w:i/>
          <w:color w:val="000000"/>
        </w:rPr>
        <w:t xml:space="preserve">Insecurity threatens Nigeria’s democracy as voters elect a new president</w:t>
      </w:r>
      <w:r>
        <w:rPr>
          <w:rFonts w:eastAsia="source serif 4" w:cs="source serif 4" w:ascii="source serif 4" w:hAnsi="source serif 4"/>
          <w:color w:val="000000"/>
        </w:rPr>
        <w:t xml:space="preserve">.</w:t>
      </w:r>
    </w:p>
    <w:p>
      <w:pPr>
        <w:spacing w:line="360" w:before="315" w:after="105" w:lineRule="auto"/>
        <w:ind w:left="-30"/>
        <w:jc w:val="left"/>
      </w:pPr>
      <w:bookmarkStart w:id="11" w:name="south_africa"/>
      <w:r>
        <w:rPr>
          <w:rFonts w:eastAsia="source serif 4" w:cs="source serif 4" w:ascii="source serif 4" w:hAnsi="source serif 4"/>
          <w:b/>
          <w:color w:val="000000"/>
          <w:sz w:val="24"/>
        </w:rPr>
        <w:t xml:space="preserve">South Africa</w:t>
      </w:r>
      <w:bookmarkEnd w:id="11"/>
    </w:p>
    <w:p>
      <w:pPr>
        <w:spacing w:line="360" w:after="210" w:lineRule="auto"/>
      </w:pPr>
      <w:r>
        <w:rPr>
          <w:rFonts w:eastAsia="source serif 4" w:cs="source serif 4" w:ascii="source serif 4" w:hAnsi="source serif 4"/>
          <w:color w:val="000000"/>
        </w:rPr>
        <w:t xml:space="preserve">South Africa shows a GTBI score of 27.0 and a mean ETTI score of 5.4, placing the country’s recent electoral cycles within a broader trauma setting shaped by communal violence. In the ETTI profile, the strongest component is PDL at 7.3, indicating that population distress and wider psychosocial disruption is the most salient election-cycle channel in the dashboard data.</w:t>
      </w:r>
    </w:p>
    <w:p>
      <w:pPr>
        <w:spacing w:line="360" w:after="210" w:lineRule="auto"/>
      </w:pPr>
      <w:r>
        <w:rPr>
          <w:rFonts w:eastAsia="source serif 4" w:cs="source serif 4" w:ascii="source serif 4" w:hAnsi="source serif 4"/>
          <w:color w:val="000000"/>
        </w:rPr>
        <w:t xml:space="preserve">Historically, South Africa’s democratic order has remained electorally competitive but burdened by inequality, violent crime, service-delivery unrest, and declining public confidence in institutions (Southall, 2021; Butler, 2023). Read together, the GTBI and ETTI scores suggest that the country’s collective trauma profile is shaped less by extreme election violence than by a wider social climate of stress, insecurity, and institutional frustration that can intensify around elections.</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Southall, R. (2021). </w:t>
      </w:r>
      <w:r>
        <w:rPr>
          <w:rFonts w:eastAsia="source serif 4" w:cs="source serif 4" w:ascii="source serif 4" w:hAnsi="source serif 4"/>
          <w:i/>
          <w:color w:val="000000"/>
        </w:rPr>
        <w:t xml:space="preserve">South Africa’s uncertain democratic future</w:t>
      </w:r>
      <w:r>
        <w:rPr>
          <w:rFonts w:eastAsia="source serif 4" w:cs="source serif 4" w:ascii="source serif 4" w:hAnsi="source serif 4"/>
          <w:color w:val="000000"/>
        </w:rPr>
        <w:t xml:space="preserve">. Manchester University Press.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Butler, A. (2023). </w:t>
      </w:r>
      <w:r>
        <w:rPr>
          <w:rFonts w:eastAsia="source serif 4" w:cs="source serif 4" w:ascii="source serif 4" w:hAnsi="source serif 4"/>
          <w:i/>
          <w:color w:val="000000"/>
        </w:rPr>
        <w:t xml:space="preserve">Contemporary South Africa</w:t>
      </w:r>
      <w:r>
        <w:rPr>
          <w:rFonts w:eastAsia="source serif 4" w:cs="source serif 4" w:ascii="source serif 4" w:hAnsi="source serif 4"/>
          <w:color w:val="000000"/>
        </w:rPr>
        <w:t xml:space="preserve">. Bloomsbury.</w:t>
      </w:r>
    </w:p>
    <w:p>
      <w:pPr>
        <w:spacing w:line="360" w:before="315" w:after="105" w:lineRule="auto"/>
        <w:ind w:left="-30"/>
        <w:jc w:val="left"/>
      </w:pPr>
      <w:bookmarkStart w:id="12" w:name="sri_lanka"/>
      <w:r>
        <w:rPr>
          <w:rFonts w:eastAsia="source serif 4" w:cs="source serif 4" w:ascii="source serif 4" w:hAnsi="source serif 4"/>
          <w:b/>
          <w:color w:val="000000"/>
          <w:sz w:val="24"/>
        </w:rPr>
        <w:t xml:space="preserve">Sri Lanka</w:t>
      </w:r>
      <w:bookmarkEnd w:id="12"/>
    </w:p>
    <w:p>
      <w:pPr>
        <w:spacing w:line="360" w:after="210" w:lineRule="auto"/>
      </w:pPr>
      <w:r>
        <w:rPr>
          <w:rFonts w:eastAsia="source serif 4" w:cs="source serif 4" w:ascii="source serif 4" w:hAnsi="source serif 4"/>
          <w:color w:val="000000"/>
        </w:rPr>
        <w:t xml:space="preserve">Sri Lanka shows a GTBI score of 11.7 and a mean ETTI score of 1.0, placing the country’s recent electoral cycles within a broader trauma setting shaped by terrorism. In the ETTI profile, the strongest component is ITS at 1.5, indicating that institutional trauma and governance strain is the most salient election-cycle channel, though still at very low levels overall.</w:t>
      </w:r>
    </w:p>
    <w:p>
      <w:pPr>
        <w:spacing w:line="360" w:after="210" w:lineRule="auto"/>
      </w:pPr>
      <w:r>
        <w:rPr>
          <w:rFonts w:eastAsia="source serif 4" w:cs="source serif 4" w:ascii="source serif 4" w:hAnsi="source serif 4"/>
          <w:color w:val="000000"/>
        </w:rPr>
        <w:t xml:space="preserve">Historically, Sri Lanka’s post-war political landscape has remained influenced by memories of civil conflict, major security shocks, and recurrent governance crises, even when election periods themselves are comparatively less violent (Uyangoda, 2021; Saravanamuttu, 2022). Read together, the GTBI and ETTI scores suggest a country where the deeper trauma burden is anchored more in historical conflict and national crisis than in recent election-specific violence.</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Uyangoda, J. (2021). Sri Lanka in 2020: Crisis, reform and democratic strain. </w:t>
      </w:r>
      <w:r>
        <w:rPr>
          <w:rFonts w:eastAsia="source serif 4" w:cs="source serif 4" w:ascii="source serif 4" w:hAnsi="source serif 4"/>
          <w:i/>
          <w:color w:val="000000"/>
        </w:rPr>
        <w:t xml:space="preserve">Asian Survey, 61</w:t>
      </w:r>
      <w:r>
        <w:rPr>
          <w:rFonts w:eastAsia="source serif 4" w:cs="source serif 4" w:ascii="source serif 4" w:hAnsi="source serif 4"/>
          <w:color w:val="000000"/>
        </w:rPr>
        <w:t xml:space="preserve">(1), 148–154.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Saravanamuttu, P. (2022). </w:t>
      </w:r>
      <w:r>
        <w:rPr>
          <w:rFonts w:eastAsia="source serif 4" w:cs="source serif 4" w:ascii="source serif 4" w:hAnsi="source serif 4"/>
          <w:i/>
          <w:color w:val="000000"/>
        </w:rPr>
        <w:t xml:space="preserve">Sri Lanka’s crisis and democratic decay</w:t>
      </w:r>
      <w:r>
        <w:rPr>
          <w:rFonts w:eastAsia="source serif 4" w:cs="source serif 4" w:ascii="source serif 4" w:hAnsi="source serif 4"/>
          <w:color w:val="000000"/>
        </w:rPr>
        <w:t xml:space="preserve">. Centre for Policy Alternatives.</w:t>
      </w:r>
    </w:p>
    <w:p>
      <w:pPr>
        <w:spacing w:line="360" w:before="315" w:after="105" w:lineRule="auto"/>
        <w:ind w:left="-30"/>
        <w:jc w:val="left"/>
      </w:pPr>
      <w:bookmarkStart w:id="13" w:name="thailand"/>
      <w:r>
        <w:rPr>
          <w:rFonts w:eastAsia="source serif 4" w:cs="source serif 4" w:ascii="source serif 4" w:hAnsi="source serif 4"/>
          <w:b/>
          <w:color w:val="000000"/>
          <w:sz w:val="24"/>
        </w:rPr>
        <w:t xml:space="preserve">Thailand</w:t>
      </w:r>
      <w:bookmarkEnd w:id="13"/>
    </w:p>
    <w:p>
      <w:pPr>
        <w:spacing w:line="360" w:after="210" w:lineRule="auto"/>
      </w:pPr>
      <w:r>
        <w:rPr>
          <w:rFonts w:eastAsia="source serif 4" w:cs="source serif 4" w:ascii="source serif 4" w:hAnsi="source serif 4"/>
          <w:color w:val="000000"/>
        </w:rPr>
        <w:t xml:space="preserve">Thailand shows a GTBI score of 3.2 and a mean ETTI score of 1.8, placing the country’s recent electoral cycles within a broader trauma setting shaped by disaster-linked trauma. In the ETTI profile, the strongest component is PDL at 2.5, indicating that population distress and wider psychosocial disruption is the most salient election-cycle channel, though still at low levels overall.</w:t>
      </w:r>
    </w:p>
    <w:p>
      <w:pPr>
        <w:spacing w:line="360" w:after="210" w:lineRule="auto"/>
      </w:pPr>
      <w:r>
        <w:rPr>
          <w:rFonts w:eastAsia="source serif 4" w:cs="source serif 4" w:ascii="source serif 4" w:hAnsi="source serif 4"/>
          <w:color w:val="000000"/>
        </w:rPr>
        <w:t xml:space="preserve">Historically, Thailand’s political history has been shaped by coups, military influence, constitutional redesign, and cycles of mobilization and repression that affect how democratic competition is experienced by the public (Chambers &amp; Napisa, 2019; Haberkorn, 2018). Read together, the GTBI and ETTI scores suggest that Thailand’s collective trauma profile is driven more by the long institutional shadow over democratic life than by high levels of recent election-window violence.</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Chambers, P., &amp; Napisa, W. (2019). </w:t>
      </w:r>
      <w:r>
        <w:rPr>
          <w:rFonts w:eastAsia="source serif 4" w:cs="source serif 4" w:ascii="source serif 4" w:hAnsi="source serif 4"/>
          <w:i/>
          <w:color w:val="000000"/>
        </w:rPr>
        <w:t xml:space="preserve">Thailand’s 2019 election: A vote for democracy?</w:t>
      </w:r>
      <w:r>
        <w:rPr>
          <w:rFonts w:eastAsia="source serif 4" w:cs="source serif 4" w:ascii="source serif 4" w:hAnsi="source serif 4"/>
          <w:color w:val="000000"/>
        </w:rPr>
        <w:t xml:space="preserve"> ISEAS Perspective.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Haberkorn, T. (2018). </w:t>
      </w:r>
      <w:r>
        <w:rPr>
          <w:rFonts w:eastAsia="source serif 4" w:cs="source serif 4" w:ascii="source serif 4" w:hAnsi="source serif 4"/>
          <w:i/>
          <w:color w:val="000000"/>
        </w:rPr>
        <w:t xml:space="preserve">In plain sight: Impunity and human rights in Thailand</w:t>
      </w:r>
      <w:r>
        <w:rPr>
          <w:rFonts w:eastAsia="source serif 4" w:cs="source serif 4" w:ascii="source serif 4" w:hAnsi="source serif 4"/>
          <w:color w:val="000000"/>
        </w:rPr>
        <w:t xml:space="preserve">. University of Wisconsin Press.</w:t>
      </w:r>
    </w:p>
    <w:p>
      <w:pPr>
        <w:spacing w:line="360" w:before="315" w:after="105" w:lineRule="auto"/>
        <w:ind w:left="-30"/>
        <w:jc w:val="left"/>
      </w:pPr>
      <w:bookmarkStart w:id="14" w:name="tunisia"/>
      <w:r>
        <w:rPr>
          <w:rFonts w:eastAsia="source serif 4" w:cs="source serif 4" w:ascii="source serif 4" w:hAnsi="source serif 4"/>
          <w:b/>
          <w:color w:val="000000"/>
          <w:sz w:val="24"/>
        </w:rPr>
        <w:t xml:space="preserve">Tunisia</w:t>
      </w:r>
      <w:bookmarkEnd w:id="14"/>
    </w:p>
    <w:p>
      <w:pPr>
        <w:spacing w:line="360" w:after="210" w:lineRule="auto"/>
      </w:pPr>
      <w:r>
        <w:rPr>
          <w:rFonts w:eastAsia="source serif 4" w:cs="source serif 4" w:ascii="source serif 4" w:hAnsi="source serif 4"/>
          <w:color w:val="000000"/>
        </w:rPr>
        <w:t xml:space="preserve">Tunisia shows a GTBI score of 6.7 and a mean ETTI score of 1.0, placing the country’s recent electoral cycles within a broader trauma setting shaped by forced displacement. In the ETTI profile, the strongest component is ITS at 3.2, indicating that institutional trauma and governance strain is the most salient election-cycle channel, though still low in absolute terms.</w:t>
      </w:r>
    </w:p>
    <w:p>
      <w:pPr>
        <w:spacing w:line="360" w:after="210" w:lineRule="auto"/>
      </w:pPr>
      <w:r>
        <w:rPr>
          <w:rFonts w:eastAsia="source serif 4" w:cs="source serif 4" w:ascii="source serif 4" w:hAnsi="source serif 4"/>
          <w:color w:val="000000"/>
        </w:rPr>
        <w:t xml:space="preserve">Historically, Tunisia moved from being the emblematic democratic success story of the Arab uprisings to a case of democratic reversal marked by executive concentration and institutional weakening (Yerkes &amp; Muasher, 2023; Meddeb, 2022). Read together, the GTBI and ETTI scores suggest that Tunisia’s present trauma profile is best understood through the erosion of institutional confidence and the narrowing of democratic safeguards more than through high levels of election-period violence.</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Yerkes, S., &amp; Muasher, M. (2023). </w:t>
      </w:r>
      <w:r>
        <w:rPr>
          <w:rFonts w:eastAsia="source serif 4" w:cs="source serif 4" w:ascii="source serif 4" w:hAnsi="source serif 4"/>
          <w:i/>
          <w:color w:val="000000"/>
        </w:rPr>
        <w:t xml:space="preserve">Tunisia’s authoritarian turn</w:t>
      </w:r>
      <w:r>
        <w:rPr>
          <w:rFonts w:eastAsia="source serif 4" w:cs="source serif 4" w:ascii="source serif 4" w:hAnsi="source serif 4"/>
          <w:color w:val="000000"/>
        </w:rPr>
        <w:t xml:space="preserve">. Carnegie Endowment for International Peace.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Meddeb, H. (2022). </w:t>
      </w:r>
      <w:r>
        <w:rPr>
          <w:rFonts w:eastAsia="source serif 4" w:cs="source serif 4" w:ascii="source serif 4" w:hAnsi="source serif 4"/>
          <w:i/>
          <w:color w:val="000000"/>
        </w:rPr>
        <w:t xml:space="preserve">Tunisia’s democratic reversal and social crisis</w:t>
      </w:r>
      <w:r>
        <w:rPr>
          <w:rFonts w:eastAsia="source serif 4" w:cs="source serif 4" w:ascii="source serif 4" w:hAnsi="source serif 4"/>
          <w:color w:val="000000"/>
        </w:rPr>
        <w:t xml:space="preserve">. Malcolm H. Kerr Carnegie Middle East Center.</w:t>
      </w:r>
    </w:p>
    <w:p>
      <w:pPr>
        <w:spacing w:line="360" w:before="315" w:after="105" w:lineRule="auto"/>
        <w:ind w:left="-30"/>
        <w:jc w:val="left"/>
      </w:pPr>
      <w:bookmarkStart w:id="15" w:name="united_states"/>
      <w:r>
        <w:rPr>
          <w:rFonts w:eastAsia="source serif 4" w:cs="source serif 4" w:ascii="source serif 4" w:hAnsi="source serif 4"/>
          <w:b/>
          <w:color w:val="000000"/>
          <w:sz w:val="24"/>
        </w:rPr>
        <w:t xml:space="preserve">United States</w:t>
      </w:r>
      <w:bookmarkEnd w:id="15"/>
    </w:p>
    <w:p>
      <w:pPr>
        <w:spacing w:line="360" w:after="210" w:lineRule="auto"/>
      </w:pPr>
      <w:r>
        <w:rPr>
          <w:rFonts w:eastAsia="source serif 4" w:cs="source serif 4" w:ascii="source serif 4" w:hAnsi="source serif 4"/>
          <w:color w:val="000000"/>
        </w:rPr>
        <w:t xml:space="preserve">The United States shows a GTBI score of 24.4 and a mean ETTI score of 14.6, placing the country’s recent electoral cycles within a broader trauma setting shaped by armed conflict in the GTBI coding and by exceptionally high institutional strain in the ETTI profile. In the ETTI profile, the strongest component is ITS at 52.1, indicating that institutional trauma and governance strain is the most salient election-cycle channel through which collective trauma is expressed in the dashboard data.</w:t>
      </w:r>
    </w:p>
    <w:p>
      <w:pPr>
        <w:spacing w:line="360" w:after="210" w:lineRule="auto"/>
      </w:pPr>
      <w:r>
        <w:rPr>
          <w:rFonts w:eastAsia="source serif 4" w:cs="source serif 4" w:ascii="source serif 4" w:hAnsi="source serif 4"/>
          <w:color w:val="000000"/>
        </w:rPr>
        <w:t xml:space="preserve">Historically, the United States has combined longstanding democratic durability with deep racialized violence, polarization, disinformation, and intensifying conflict over electoral legitimacy and democratic rules (Levitsky &amp; Ziblatt, 2023; Lieberman et al., 2022). Read together, the GTBI and ETTI scores suggest that the country’s collective trauma profile is expressed primarily through institutional distrust, legitimacy crises, and public anxiety around democratic continuity rather than through high levels of election-related fatalities alone.</w:t>
      </w:r>
    </w:p>
    <w:p>
      <w:pPr>
        <w:spacing w:line="360" w:after="210" w:lineRule="auto"/>
      </w:pPr>
      <w:r>
        <w:rPr>
          <w:rFonts w:eastAsia="source serif 4" w:cs="source serif 4" w:ascii="source serif 4" w:hAnsi="source serif 4"/>
          <w:b/>
          <w:color w:val="000000"/>
        </w:rPr>
        <w:t xml:space="preserve">APA 7 references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Levitsky, S., &amp; Ziblatt, D. (2023). </w:t>
      </w:r>
      <w:r>
        <w:rPr>
          <w:rFonts w:eastAsia="source serif 4" w:cs="source serif 4" w:ascii="source serif 4" w:hAnsi="source serif 4"/>
          <w:i/>
          <w:color w:val="000000"/>
        </w:rPr>
        <w:t xml:space="preserve">Tyranny of the minority</w:t>
      </w:r>
      <w:r>
        <w:rPr>
          <w:rFonts w:eastAsia="source serif 4" w:cs="source serif 4" w:ascii="source serif 4" w:hAnsi="source serif 4"/>
          <w:color w:val="000000"/>
        </w:rPr>
        <w:t xml:space="preserve">. Crown.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Lieberman, R. C., Mettler, S., Pepinsky, T. B., Roberts, K. M., &amp; Valelly, R. M. (2022). </w:t>
      </w:r>
      <w:r>
        <w:rPr>
          <w:rFonts w:eastAsia="source serif 4" w:cs="source serif 4" w:ascii="source serif 4" w:hAnsi="source serif 4"/>
          <w:i/>
          <w:color w:val="000000"/>
        </w:rPr>
        <w:t xml:space="preserve">The enduring crisis of American democracy</w:t>
      </w:r>
      <w:r>
        <w:rPr>
          <w:rFonts w:eastAsia="source serif 4" w:cs="source serif 4" w:ascii="source serif 4" w:hAnsi="source serif 4"/>
          <w:color w:val="000000"/>
        </w:rPr>
        <w:t xml:space="preserve">. Princeton University Press.</w:t>
      </w:r>
    </w:p>
    <w:p>
      <w:pPr>
        <w:spacing w:line="360" w:before="315" w:after="105" w:lineRule="auto"/>
        <w:ind w:left="-30"/>
        <w:jc w:val="left"/>
      </w:pPr>
      <w:bookmarkStart w:id="16" w:name="general_reference"/>
      <w:r>
        <w:rPr>
          <w:rFonts w:eastAsia="source serif 4" w:cs="source serif 4" w:ascii="source serif 4" w:hAnsi="source serif 4"/>
          <w:b/>
          <w:color w:val="000000"/>
          <w:sz w:val="24"/>
        </w:rPr>
        <w:t xml:space="preserve">General reference</w:t>
      </w:r>
      <w:bookmarkEnd w:id="16"/>
    </w:p>
    <w:p>
      <w:pPr>
        <w:spacing w:line="360" w:after="210" w:lineRule="auto"/>
      </w:pPr>
      <w:r>
        <w:rPr>
          <w:rFonts w:eastAsia="source serif 4" w:cs="source serif 4" w:ascii="source serif 4" w:hAnsi="source serif 4"/>
          <w:color w:val="000000"/>
        </w:rPr>
        <w:t xml:space="preserve">International IDEA. (n.d.). </w:t>
      </w:r>
      <w:r>
        <w:rPr>
          <w:rFonts w:eastAsia="source serif 4" w:cs="source serif 4" w:ascii="source serif 4" w:hAnsi="source serif 4"/>
          <w:i/>
          <w:color w:val="000000"/>
        </w:rPr>
        <w:t xml:space="preserve">A strategy for improving the integrity of elections worldwide</w:t>
      </w:r>
      <w:r>
        <w:rPr>
          <w:rFonts w:eastAsia="source serif 4" w:cs="source serif 4" w:ascii="source serif 4" w:hAnsi="source serif 4"/>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2026-07-23T20:10:27.199Z</dcterms:created>
  <dcterms:modified xsi:type="dcterms:W3CDTF">2026-07-23T20:10:27.199Z</dcterms:modified>
</cp:coreProperties>
</file>