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B2A4A"/>
          <w:spacing w:val="20"/>
          <w:sz w:val="22"/>
          <w:szCs w:val="22"/>
        </w:rPr>
        <w:t xml:space="preserve">INTERNATIONAL TRUTH &amp; TRAUMA INSTITUTE</w:t>
      </w:r>
    </w:p>
    <w:p>
      <w:pPr>
        <w:spacing w:after="600"/>
        <w:jc w:val="center"/>
      </w:pPr>
      <w:r>
        <w:rPr>
          <w:i/>
          <w:iCs/>
          <w:color w:val="595959"/>
          <w:sz w:val="20"/>
          <w:szCs w:val="20"/>
        </w:rPr>
        <w:t xml:space="preserve">Fellowship of the International Truth &amp; Trauma Institute (FITTI™)</w:t>
      </w:r>
    </w:p>
    <w:p>
      <w:pPr>
        <w:spacing w:after="800"/>
      </w:pPr>
    </w:p>
    <w:p>
      <w:pPr>
        <w:spacing w:after="300"/>
        <w:jc w:val="center"/>
      </w:pPr>
      <w:r>
        <w:rPr>
          <w:b/>
          <w:bCs/>
          <w:color w:val="1B2A4A"/>
          <w:sz w:val="48"/>
          <w:szCs w:val="48"/>
        </w:rPr>
        <w:t xml:space="preserve">CONFLICT MAPPING REPORT</w:t>
      </w:r>
    </w:p>
    <w:p>
      <w:pPr>
        <w:spacing w:after="200"/>
        <w:jc w:val="center"/>
      </w:pPr>
      <w:r>
        <w:rPr>
          <w:b/>
          <w:bCs/>
          <w:color w:val="B08D57"/>
          <w:sz w:val="28"/>
          <w:szCs w:val="28"/>
        </w:rPr>
        <w:t xml:space="preserve">Deliverable 3 of 10 — FITTI™ Fellowship Program</w:t>
      </w:r>
    </w:p>
    <w:p>
      <w:pPr>
        <w:spacing w:after="1600"/>
        <w:jc w:val="center"/>
      </w:pPr>
      <w:r>
        <w:rPr>
          <w:color w:val="1B2A4A"/>
          <w:sz w:val="32"/>
          <w:szCs w:val="32"/>
        </w:rPr>
        <w:t xml:space="preserve">Colombia</w:t>
      </w:r>
    </w:p>
    <w:p>
      <w:pPr>
        <w:spacing w:after="3000"/>
      </w:pPr>
    </w:p>
    <w:p>
      <w:pPr>
        <w:spacing w:after="100"/>
        <w:jc w:val="center"/>
      </w:pPr>
      <w:r>
        <w:rPr>
          <w:color w:val="595959"/>
          <w:sz w:val="20"/>
          <w:szCs w:val="20"/>
        </w:rPr>
        <w:t xml:space="preserve">Prepared under the FITTI™ Fellowship Deliverables Program</w:t>
      </w:r>
    </w:p>
    <w:p>
      <w:pPr>
        <w:spacing w:after="100"/>
        <w:jc w:val="center"/>
      </w:pPr>
      <w:r>
        <w:rPr>
          <w:color w:val="595959"/>
          <w:sz w:val="20"/>
          <w:szCs w:val="20"/>
        </w:rPr>
        <w:t xml:space="preserve">Outlets for Hope, Inc. — International Truth &amp; Trauma Institute (ITTI)</w:t>
      </w:r>
    </w:p>
    <w:p>
      <w:pPr>
        <w:jc w:val="center"/>
      </w:pPr>
      <w:r>
        <w:rPr>
          <w:b/>
          <w:bCs/>
          <w:color w:val="B08D57"/>
          <w:sz w:val="20"/>
          <w:szCs w:val="20"/>
        </w:rPr>
        <w:t xml:space="preserve">DRAFT — For Fellowship Review</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2A4A" w:sz="6" w:space="4"/>
        </w:pBdr>
        <w:spacing w:after="200" w:before="400"/>
      </w:pPr>
      <w:r>
        <w:rPr>
          <w:b/>
          <w:bCs/>
          <w:color w:val="1B2A4A"/>
        </w:rPr>
        <w:t xml:space="preserve">1. Purpose and Scope</w:t>
      </w:r>
    </w:p>
    <w:p>
      <w:pPr>
        <w:spacing w:after="160" w:line="276"/>
        <w:jc w:val="both"/>
      </w:pPr>
      <w:r>
        <w:rPr>
          <w:sz w:val="22"/>
          <w:szCs w:val="22"/>
        </w:rPr>
        <w:t xml:space="preserve">This report maps who fought, when, and where in Colombia's internal armed conflict — a working reference for trauma-informed programming. It's a much harder mapping task than Sri Lanka's. That war had two clear sides and a defined end date. This one doesn't: six decades, a rotating cast of armed actors, and successor and dissident groups still fighting today. Section 2 walks through why that matters.</w:t>
      </w:r>
    </w:p>
    <w:p>
      <w:pPr>
        <w:pStyle w:val="Heading1"/>
        <w:pBdr>
          <w:bottom w:val="single" w:color="1B2A4A" w:sz="6" w:space="4"/>
        </w:pBdr>
        <w:spacing w:after="200" w:before="400"/>
      </w:pPr>
      <w:r>
        <w:rPr>
          <w:b/>
          <w:bCs/>
          <w:color w:val="1B2A4A"/>
        </w:rPr>
        <w:t xml:space="preserve">2. Actor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B2A4A" w:color="auto" w:val="clear"/>
            <w:tcMar>
              <w:top w:type="dxa" w:w="100"/>
              <w:left w:type="dxa" w:w="120"/>
              <w:bottom w:type="dxa" w:w="100"/>
              <w:right w:type="dxa" w:w="120"/>
            </w:tcMar>
          </w:tcPr>
          <w:p>
            <w:r>
              <w:rPr>
                <w:b/>
                <w:bCs/>
                <w:color w:val="FFFFFF"/>
                <w:sz w:val="20"/>
                <w:szCs w:val="20"/>
              </w:rPr>
              <w:t xml:space="preserve">Actor</w:t>
            </w:r>
          </w:p>
        </w:tc>
        <w:tc>
          <w:tcPr>
            <w:tcW w:type="dxa" w:w="2250"/>
            <w:shd w:fill="1B2A4A" w:color="auto" w:val="clear"/>
            <w:tcMar>
              <w:top w:type="dxa" w:w="100"/>
              <w:left w:type="dxa" w:w="120"/>
              <w:bottom w:type="dxa" w:w="100"/>
              <w:right w:type="dxa" w:w="120"/>
            </w:tcMar>
          </w:tcPr>
          <w:p>
            <w:r>
              <w:rPr>
                <w:b/>
                <w:bCs/>
                <w:color w:val="FFFFFF"/>
                <w:sz w:val="20"/>
                <w:szCs w:val="20"/>
              </w:rPr>
              <w:t xml:space="preserve">Type</w:t>
            </w:r>
          </w:p>
        </w:tc>
        <w:tc>
          <w:tcPr>
            <w:tcW w:type="dxa" w:w="2250"/>
            <w:shd w:fill="1B2A4A" w:color="auto" w:val="clear"/>
            <w:tcMar>
              <w:top w:type="dxa" w:w="100"/>
              <w:left w:type="dxa" w:w="120"/>
              <w:bottom w:type="dxa" w:w="100"/>
              <w:right w:type="dxa" w:w="120"/>
            </w:tcMar>
          </w:tcPr>
          <w:p>
            <w:r>
              <w:rPr>
                <w:b/>
                <w:bCs/>
                <w:color w:val="FFFFFF"/>
                <w:sz w:val="20"/>
                <w:szCs w:val="20"/>
              </w:rPr>
              <w:t xml:space="preserve">Period Active</w:t>
            </w:r>
          </w:p>
        </w:tc>
        <w:tc>
          <w:tcPr>
            <w:tcW w:type="dxa" w:w="2250"/>
            <w:shd w:fill="1B2A4A" w:color="auto" w:val="clear"/>
            <w:tcMar>
              <w:top w:type="dxa" w:w="100"/>
              <w:left w:type="dxa" w:w="120"/>
              <w:bottom w:type="dxa" w:w="100"/>
              <w:right w:type="dxa" w:w="120"/>
            </w:tcMar>
          </w:tcPr>
          <w:p>
            <w:r>
              <w:rPr>
                <w:b/>
                <w:bCs/>
                <w:color w:val="FFFFFF"/>
                <w:sz w:val="20"/>
                <w:szCs w:val="20"/>
              </w:rPr>
              <w:t xml:space="preserve">Notes</w:t>
            </w:r>
          </w:p>
        </w:tc>
      </w:tr>
      <w:tr>
        <w:tc>
          <w:tcPr>
            <w:tcW w:type="dxa" w:w="2250"/>
            <w:tcMar>
              <w:top w:type="dxa" w:w="100"/>
              <w:left w:type="dxa" w:w="120"/>
              <w:bottom w:type="dxa" w:w="100"/>
              <w:right w:type="dxa" w:w="120"/>
            </w:tcMar>
          </w:tcPr>
          <w:p>
            <w:r>
              <w:rPr>
                <w:b w:val="false"/>
                <w:bCs w:val="false"/>
                <w:color w:val="000000"/>
                <w:sz w:val="20"/>
                <w:szCs w:val="20"/>
              </w:rPr>
              <w:t xml:space="preserve">FARC-EP (Revolutionary Armed Forces of Colombia)</w:t>
            </w:r>
          </w:p>
        </w:tc>
        <w:tc>
          <w:tcPr>
            <w:tcW w:type="dxa" w:w="2250"/>
            <w:tcMar>
              <w:top w:type="dxa" w:w="100"/>
              <w:left w:type="dxa" w:w="120"/>
              <w:bottom w:type="dxa" w:w="100"/>
              <w:right w:type="dxa" w:w="120"/>
            </w:tcMar>
          </w:tcPr>
          <w:p>
            <w:r>
              <w:rPr>
                <w:b w:val="false"/>
                <w:bCs w:val="false"/>
                <w:color w:val="000000"/>
                <w:sz w:val="20"/>
                <w:szCs w:val="20"/>
              </w:rPr>
              <w:t xml:space="preserve">Left-wing guerrilla</w:t>
            </w:r>
          </w:p>
        </w:tc>
        <w:tc>
          <w:tcPr>
            <w:tcW w:type="dxa" w:w="2250"/>
            <w:tcMar>
              <w:top w:type="dxa" w:w="100"/>
              <w:left w:type="dxa" w:w="120"/>
              <w:bottom w:type="dxa" w:w="100"/>
              <w:right w:type="dxa" w:w="120"/>
            </w:tcMar>
          </w:tcPr>
          <w:p>
            <w:r>
              <w:rPr>
                <w:b w:val="false"/>
                <w:bCs w:val="false"/>
                <w:color w:val="000000"/>
                <w:sz w:val="20"/>
                <w:szCs w:val="20"/>
              </w:rPr>
              <w:t xml:space="preserve">27 May 1964 – 27 Jun 2017 (demobilized); dissident factions remain active</w:t>
            </w:r>
          </w:p>
        </w:tc>
        <w:tc>
          <w:tcPr>
            <w:tcW w:type="dxa" w:w="2250"/>
            <w:tcMar>
              <w:top w:type="dxa" w:w="100"/>
              <w:left w:type="dxa" w:w="120"/>
              <w:bottom w:type="dxa" w:w="100"/>
              <w:right w:type="dxa" w:w="120"/>
            </w:tcMar>
          </w:tcPr>
          <w:p>
            <w:r>
              <w:rPr>
                <w:b w:val="false"/>
                <w:bCs w:val="false"/>
                <w:color w:val="000000"/>
                <w:sz w:val="20"/>
                <w:szCs w:val="20"/>
              </w:rPr>
              <w:t xml:space="preserve">Formed after the Colombian military's attack on Marquetalia peasant community; largest guerrilla force, concentrated in north-western, south-western, southern and eastern Colombia</w:t>
            </w:r>
          </w:p>
        </w:tc>
      </w:tr>
      <w:tr>
        <w:tc>
          <w:tcPr>
            <w:tcW w:type="dxa" w:w="2250"/>
            <w:tcMar>
              <w:top w:type="dxa" w:w="100"/>
              <w:left w:type="dxa" w:w="120"/>
              <w:bottom w:type="dxa" w:w="100"/>
              <w:right w:type="dxa" w:w="120"/>
            </w:tcMar>
          </w:tcPr>
          <w:p>
            <w:r>
              <w:rPr>
                <w:b w:val="false"/>
                <w:bCs w:val="false"/>
                <w:color w:val="000000"/>
                <w:sz w:val="20"/>
                <w:szCs w:val="20"/>
              </w:rPr>
              <w:t xml:space="preserve">ELN (National Liberation Army)</w:t>
            </w:r>
          </w:p>
        </w:tc>
        <w:tc>
          <w:tcPr>
            <w:tcW w:type="dxa" w:w="2250"/>
            <w:tcMar>
              <w:top w:type="dxa" w:w="100"/>
              <w:left w:type="dxa" w:w="120"/>
              <w:bottom w:type="dxa" w:w="100"/>
              <w:right w:type="dxa" w:w="120"/>
            </w:tcMar>
          </w:tcPr>
          <w:p>
            <w:r>
              <w:rPr>
                <w:b w:val="false"/>
                <w:bCs w:val="false"/>
                <w:color w:val="000000"/>
                <w:sz w:val="20"/>
                <w:szCs w:val="20"/>
              </w:rPr>
              <w:t xml:space="preserve">Left-wing guerrilla</w:t>
            </w:r>
          </w:p>
        </w:tc>
        <w:tc>
          <w:tcPr>
            <w:tcW w:type="dxa" w:w="2250"/>
            <w:tcMar>
              <w:top w:type="dxa" w:w="100"/>
              <w:left w:type="dxa" w:w="120"/>
              <w:bottom w:type="dxa" w:w="100"/>
              <w:right w:type="dxa" w:w="120"/>
            </w:tcMar>
          </w:tcPr>
          <w:p>
            <w:r>
              <w:rPr>
                <w:b w:val="false"/>
                <w:bCs w:val="false"/>
                <w:color w:val="000000"/>
                <w:sz w:val="20"/>
                <w:szCs w:val="20"/>
              </w:rPr>
              <w:t xml:space="preserve">1964–present (active)</w:t>
            </w:r>
          </w:p>
        </w:tc>
        <w:tc>
          <w:tcPr>
            <w:tcW w:type="dxa" w:w="2250"/>
            <w:tcMar>
              <w:top w:type="dxa" w:w="100"/>
              <w:left w:type="dxa" w:w="120"/>
              <w:bottom w:type="dxa" w:w="100"/>
              <w:right w:type="dxa" w:w="120"/>
            </w:tcMar>
          </w:tcPr>
          <w:p>
            <w:r>
              <w:rPr>
                <w:b w:val="false"/>
                <w:bCs w:val="false"/>
                <w:color w:val="000000"/>
                <w:sz w:val="20"/>
                <w:szCs w:val="20"/>
              </w:rPr>
              <w:t xml:space="preserve">Formed by students inspired by the Cuban Revolution; strongly Guevarist/liberation-theology influenced; remains active post-FARC demobilization</w:t>
            </w:r>
          </w:p>
        </w:tc>
      </w:tr>
      <w:tr>
        <w:tc>
          <w:tcPr>
            <w:tcW w:type="dxa" w:w="2250"/>
            <w:tcMar>
              <w:top w:type="dxa" w:w="100"/>
              <w:left w:type="dxa" w:w="120"/>
              <w:bottom w:type="dxa" w:w="100"/>
              <w:right w:type="dxa" w:w="120"/>
            </w:tcMar>
          </w:tcPr>
          <w:p>
            <w:r>
              <w:rPr>
                <w:b w:val="false"/>
                <w:bCs w:val="false"/>
                <w:color w:val="000000"/>
                <w:sz w:val="20"/>
                <w:szCs w:val="20"/>
              </w:rPr>
              <w:t xml:space="preserve">M-19 (19th of April Movement)</w:t>
            </w:r>
          </w:p>
        </w:tc>
        <w:tc>
          <w:tcPr>
            <w:tcW w:type="dxa" w:w="2250"/>
            <w:tcMar>
              <w:top w:type="dxa" w:w="100"/>
              <w:left w:type="dxa" w:w="120"/>
              <w:bottom w:type="dxa" w:w="100"/>
              <w:right w:type="dxa" w:w="120"/>
            </w:tcMar>
          </w:tcPr>
          <w:p>
            <w:r>
              <w:rPr>
                <w:b w:val="false"/>
                <w:bCs w:val="false"/>
                <w:color w:val="000000"/>
                <w:sz w:val="20"/>
                <w:szCs w:val="20"/>
              </w:rPr>
              <w:t xml:space="preserve">Left-wing guerrilla</w:t>
            </w:r>
          </w:p>
        </w:tc>
        <w:tc>
          <w:tcPr>
            <w:tcW w:type="dxa" w:w="2250"/>
            <w:tcMar>
              <w:top w:type="dxa" w:w="100"/>
              <w:left w:type="dxa" w:w="120"/>
              <w:bottom w:type="dxa" w:w="100"/>
              <w:right w:type="dxa" w:w="120"/>
            </w:tcMar>
          </w:tcPr>
          <w:p>
            <w:r>
              <w:rPr>
                <w:b w:val="false"/>
                <w:bCs w:val="false"/>
                <w:color w:val="000000"/>
                <w:sz w:val="20"/>
                <w:szCs w:val="20"/>
              </w:rPr>
              <w:t xml:space="preserve">1970–1990 (demobilized)</w:t>
            </w:r>
          </w:p>
        </w:tc>
        <w:tc>
          <w:tcPr>
            <w:tcW w:type="dxa" w:w="2250"/>
            <w:tcMar>
              <w:top w:type="dxa" w:w="100"/>
              <w:left w:type="dxa" w:w="120"/>
              <w:bottom w:type="dxa" w:w="100"/>
              <w:right w:type="dxa" w:w="120"/>
            </w:tcMar>
          </w:tcPr>
          <w:p>
            <w:r>
              <w:rPr>
                <w:b w:val="false"/>
                <w:bCs w:val="false"/>
                <w:color w:val="000000"/>
                <w:sz w:val="20"/>
                <w:szCs w:val="20"/>
              </w:rPr>
              <w:t xml:space="preserve">Demobilized and transformed into a legal political movement well before the FARC process</w:t>
            </w:r>
          </w:p>
        </w:tc>
      </w:tr>
      <w:tr>
        <w:tc>
          <w:tcPr>
            <w:tcW w:type="dxa" w:w="2250"/>
            <w:tcMar>
              <w:top w:type="dxa" w:w="100"/>
              <w:left w:type="dxa" w:w="120"/>
              <w:bottom w:type="dxa" w:w="100"/>
              <w:right w:type="dxa" w:w="120"/>
            </w:tcMar>
          </w:tcPr>
          <w:p>
            <w:r>
              <w:rPr>
                <w:b w:val="false"/>
                <w:bCs w:val="false"/>
                <w:color w:val="000000"/>
                <w:sz w:val="20"/>
                <w:szCs w:val="20"/>
              </w:rPr>
              <w:t xml:space="preserve">AUC (United Self-Defense Forces of Colombia)</w:t>
            </w:r>
          </w:p>
        </w:tc>
        <w:tc>
          <w:tcPr>
            <w:tcW w:type="dxa" w:w="2250"/>
            <w:tcMar>
              <w:top w:type="dxa" w:w="100"/>
              <w:left w:type="dxa" w:w="120"/>
              <w:bottom w:type="dxa" w:w="100"/>
              <w:right w:type="dxa" w:w="120"/>
            </w:tcMar>
          </w:tcPr>
          <w:p>
            <w:r>
              <w:rPr>
                <w:b w:val="false"/>
                <w:bCs w:val="false"/>
                <w:color w:val="000000"/>
                <w:sz w:val="20"/>
                <w:szCs w:val="20"/>
              </w:rPr>
              <w:t xml:space="preserve">Right-wing paramilitary umbrella</w:t>
            </w:r>
          </w:p>
        </w:tc>
        <w:tc>
          <w:tcPr>
            <w:tcW w:type="dxa" w:w="2250"/>
            <w:tcMar>
              <w:top w:type="dxa" w:w="100"/>
              <w:left w:type="dxa" w:w="120"/>
              <w:bottom w:type="dxa" w:w="100"/>
              <w:right w:type="dxa" w:w="120"/>
            </w:tcMar>
          </w:tcPr>
          <w:p>
            <w:r>
              <w:rPr>
                <w:b w:val="false"/>
                <w:bCs w:val="false"/>
                <w:color w:val="000000"/>
                <w:sz w:val="20"/>
                <w:szCs w:val="20"/>
              </w:rPr>
              <w:t xml:space="preserve">Early 1990s – 2006 (formally demobilized)</w:t>
            </w:r>
          </w:p>
        </w:tc>
        <w:tc>
          <w:tcPr>
            <w:tcW w:type="dxa" w:w="2250"/>
            <w:tcMar>
              <w:top w:type="dxa" w:w="100"/>
              <w:left w:type="dxa" w:w="120"/>
              <w:bottom w:type="dxa" w:w="100"/>
              <w:right w:type="dxa" w:w="120"/>
            </w:tcMar>
          </w:tcPr>
          <w:p>
            <w:r>
              <w:rPr>
                <w:b w:val="false"/>
                <w:bCs w:val="false"/>
                <w:color w:val="000000"/>
                <w:sz w:val="20"/>
                <w:szCs w:val="20"/>
              </w:rPr>
              <w:t xml:space="preserve">Formed by landowners, drug cartels, and elements of the Colombian Army in response to guerrilla activity; responsible for large-scale civilian massacres</w:t>
            </w:r>
          </w:p>
        </w:tc>
      </w:tr>
      <w:tr>
        <w:tc>
          <w:tcPr>
            <w:tcW w:type="dxa" w:w="2250"/>
            <w:tcMar>
              <w:top w:type="dxa" w:w="100"/>
              <w:left w:type="dxa" w:w="120"/>
              <w:bottom w:type="dxa" w:w="100"/>
              <w:right w:type="dxa" w:w="120"/>
            </w:tcMar>
          </w:tcPr>
          <w:p>
            <w:r>
              <w:rPr>
                <w:b w:val="false"/>
                <w:bCs w:val="false"/>
                <w:color w:val="000000"/>
                <w:sz w:val="20"/>
                <w:szCs w:val="20"/>
              </w:rPr>
              <w:t xml:space="preserve">FARC dissident factions / successor criminal groups ("BACRIM", Segunda Marquetalia, etc.)</w:t>
            </w:r>
          </w:p>
        </w:tc>
        <w:tc>
          <w:tcPr>
            <w:tcW w:type="dxa" w:w="2250"/>
            <w:tcMar>
              <w:top w:type="dxa" w:w="100"/>
              <w:left w:type="dxa" w:w="120"/>
              <w:bottom w:type="dxa" w:w="100"/>
              <w:right w:type="dxa" w:w="120"/>
            </w:tcMar>
          </w:tcPr>
          <w:p>
            <w:r>
              <w:rPr>
                <w:b w:val="false"/>
                <w:bCs w:val="false"/>
                <w:color w:val="000000"/>
                <w:sz w:val="20"/>
                <w:szCs w:val="20"/>
              </w:rPr>
              <w:t xml:space="preserve">Post-demobilization armed groups</w:t>
            </w:r>
          </w:p>
        </w:tc>
        <w:tc>
          <w:tcPr>
            <w:tcW w:type="dxa" w:w="2250"/>
            <w:tcMar>
              <w:top w:type="dxa" w:w="100"/>
              <w:left w:type="dxa" w:w="120"/>
              <w:bottom w:type="dxa" w:w="100"/>
              <w:right w:type="dxa" w:w="120"/>
            </w:tcMar>
          </w:tcPr>
          <w:p>
            <w:r>
              <w:rPr>
                <w:b w:val="false"/>
                <w:bCs w:val="false"/>
                <w:color w:val="000000"/>
                <w:sz w:val="20"/>
                <w:szCs w:val="20"/>
              </w:rPr>
              <w:t xml:space="preserve">2016/2017–present</w:t>
            </w:r>
          </w:p>
        </w:tc>
        <w:tc>
          <w:tcPr>
            <w:tcW w:type="dxa" w:w="2250"/>
            <w:tcMar>
              <w:top w:type="dxa" w:w="100"/>
              <w:left w:type="dxa" w:w="120"/>
              <w:bottom w:type="dxa" w:w="100"/>
              <w:right w:type="dxa" w:w="120"/>
            </w:tcMar>
          </w:tcPr>
          <w:p>
            <w:r>
              <w:rPr>
                <w:b w:val="false"/>
                <w:bCs w:val="false"/>
                <w:color w:val="000000"/>
                <w:sz w:val="20"/>
                <w:szCs w:val="20"/>
              </w:rPr>
              <w:t xml:space="preserve">Emerged after the 2016 accord among FARC members rejecting demobilization; lack the original group's political programme, more criminally oriented</w:t>
            </w:r>
          </w:p>
        </w:tc>
      </w:tr>
    </w:tbl>
    <w:p>
      <w:pPr>
        <w:spacing w:after="240" w:before="80"/>
      </w:pPr>
      <w:r>
        <w:rPr>
          <w:i/>
          <w:iCs/>
          <w:color w:val="595959"/>
          <w:sz w:val="18"/>
          <w:szCs w:val="18"/>
        </w:rPr>
        <w:t xml:space="preserve">Table 1. Principal armed actors in the Colombian conflict. Both FARC and the AUC have formally demobilized, but successor and dissident structures continue armed activity — a key distinction from Sri Lanka's fully concluded conflict.</w:t>
      </w:r>
    </w:p>
    <w:p>
      <w:pPr>
        <w:pStyle w:val="Heading1"/>
        <w:pBdr>
          <w:bottom w:val="single" w:color="1B2A4A" w:sz="6" w:space="4"/>
        </w:pBdr>
        <w:spacing w:after="200" w:before="400"/>
      </w:pPr>
      <w:r>
        <w:rPr>
          <w:b/>
          <w:bCs/>
          <w:color w:val="1B2A4A"/>
        </w:rPr>
        <w:t xml:space="preserve">3. Temporal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B2A4A" w:color="auto" w:val="clear"/>
            <w:tcMar>
              <w:top w:type="dxa" w:w="100"/>
              <w:left w:type="dxa" w:w="120"/>
              <w:bottom w:type="dxa" w:w="100"/>
              <w:right w:type="dxa" w:w="120"/>
            </w:tcMar>
          </w:tcPr>
          <w:p>
            <w:r>
              <w:rPr>
                <w:b/>
                <w:bCs/>
                <w:color w:val="FFFFFF"/>
                <w:sz w:val="20"/>
                <w:szCs w:val="20"/>
              </w:rPr>
              <w:t xml:space="preserve">Phase</w:t>
            </w:r>
          </w:p>
        </w:tc>
        <w:tc>
          <w:tcPr>
            <w:tcW w:type="dxa" w:w="3000"/>
            <w:shd w:fill="1B2A4A" w:color="auto" w:val="clear"/>
            <w:tcMar>
              <w:top w:type="dxa" w:w="100"/>
              <w:left w:type="dxa" w:w="120"/>
              <w:bottom w:type="dxa" w:w="100"/>
              <w:right w:type="dxa" w:w="120"/>
            </w:tcMar>
          </w:tcPr>
          <w:p>
            <w:r>
              <w:rPr>
                <w:b/>
                <w:bCs/>
                <w:color w:val="FFFFFF"/>
                <w:sz w:val="20"/>
                <w:szCs w:val="20"/>
              </w:rPr>
              <w:t xml:space="preserve">Approximate Period</w:t>
            </w:r>
          </w:p>
        </w:tc>
        <w:tc>
          <w:tcPr>
            <w:tcW w:type="dxa" w:w="3000"/>
            <w:shd w:fill="1B2A4A" w:color="auto" w:val="clear"/>
            <w:tcMar>
              <w:top w:type="dxa" w:w="100"/>
              <w:left w:type="dxa" w:w="120"/>
              <w:bottom w:type="dxa" w:w="100"/>
              <w:right w:type="dxa" w:w="120"/>
            </w:tcMar>
          </w:tcPr>
          <w:p>
            <w:r>
              <w:rPr>
                <w:b/>
                <w:bCs/>
                <w:color w:val="FFFFFF"/>
                <w:sz w:val="20"/>
                <w:szCs w:val="20"/>
              </w:rPr>
              <w:t xml:space="preserve">Key Dynamics</w:t>
            </w:r>
          </w:p>
        </w:tc>
      </w:tr>
      <w:tr>
        <w:tc>
          <w:tcPr>
            <w:tcW w:type="dxa" w:w="3000"/>
            <w:tcMar>
              <w:top w:type="dxa" w:w="100"/>
              <w:left w:type="dxa" w:w="120"/>
              <w:bottom w:type="dxa" w:w="100"/>
              <w:right w:type="dxa" w:w="120"/>
            </w:tcMar>
          </w:tcPr>
          <w:p>
            <w:r>
              <w:rPr>
                <w:b w:val="false"/>
                <w:bCs w:val="false"/>
                <w:color w:val="000000"/>
                <w:sz w:val="20"/>
                <w:szCs w:val="20"/>
              </w:rPr>
              <w:t xml:space="preserve">La Violencia (precursor)</w:t>
            </w:r>
          </w:p>
        </w:tc>
        <w:tc>
          <w:tcPr>
            <w:tcW w:type="dxa" w:w="3000"/>
            <w:tcMar>
              <w:top w:type="dxa" w:w="100"/>
              <w:left w:type="dxa" w:w="120"/>
              <w:bottom w:type="dxa" w:w="100"/>
              <w:right w:type="dxa" w:w="120"/>
            </w:tcMar>
          </w:tcPr>
          <w:p>
            <w:r>
              <w:rPr>
                <w:b w:val="false"/>
                <w:bCs w:val="false"/>
                <w:color w:val="000000"/>
                <w:sz w:val="20"/>
                <w:szCs w:val="20"/>
              </w:rPr>
              <w:t xml:space="preserve">Late 1940s – 1950s</w:t>
            </w:r>
          </w:p>
        </w:tc>
        <w:tc>
          <w:tcPr>
            <w:tcW w:type="dxa" w:w="3000"/>
            <w:tcMar>
              <w:top w:type="dxa" w:w="100"/>
              <w:left w:type="dxa" w:w="120"/>
              <w:bottom w:type="dxa" w:w="100"/>
              <w:right w:type="dxa" w:w="120"/>
            </w:tcMar>
          </w:tcPr>
          <w:p>
            <w:r>
              <w:rPr>
                <w:b w:val="false"/>
                <w:bCs w:val="false"/>
                <w:color w:val="000000"/>
                <w:sz w:val="20"/>
                <w:szCs w:val="20"/>
              </w:rPr>
              <w:t xml:space="preserve">Partisan massacre of Liberal Party supporters by the Conservative government; root cause of subsequent armed mobilization</w:t>
            </w:r>
          </w:p>
        </w:tc>
      </w:tr>
      <w:tr>
        <w:tc>
          <w:tcPr>
            <w:tcW w:type="dxa" w:w="3000"/>
            <w:tcMar>
              <w:top w:type="dxa" w:w="100"/>
              <w:left w:type="dxa" w:w="120"/>
              <w:bottom w:type="dxa" w:w="100"/>
              <w:right w:type="dxa" w:w="120"/>
            </w:tcMar>
          </w:tcPr>
          <w:p>
            <w:r>
              <w:rPr>
                <w:b w:val="false"/>
                <w:bCs w:val="false"/>
                <w:color w:val="000000"/>
                <w:sz w:val="20"/>
                <w:szCs w:val="20"/>
              </w:rPr>
              <w:t xml:space="preserve">Guerrilla Formation</w:t>
            </w:r>
          </w:p>
        </w:tc>
        <w:tc>
          <w:tcPr>
            <w:tcW w:type="dxa" w:w="3000"/>
            <w:tcMar>
              <w:top w:type="dxa" w:w="100"/>
              <w:left w:type="dxa" w:w="120"/>
              <w:bottom w:type="dxa" w:w="100"/>
              <w:right w:type="dxa" w:w="120"/>
            </w:tcMar>
          </w:tcPr>
          <w:p>
            <w:r>
              <w:rPr>
                <w:b w:val="false"/>
                <w:bCs w:val="false"/>
                <w:color w:val="000000"/>
                <w:sz w:val="20"/>
                <w:szCs w:val="20"/>
              </w:rPr>
              <w:t xml:space="preserve">1964–1966</w:t>
            </w:r>
          </w:p>
        </w:tc>
        <w:tc>
          <w:tcPr>
            <w:tcW w:type="dxa" w:w="3000"/>
            <w:tcMar>
              <w:top w:type="dxa" w:w="100"/>
              <w:left w:type="dxa" w:w="120"/>
              <w:bottom w:type="dxa" w:w="100"/>
              <w:right w:type="dxa" w:w="120"/>
            </w:tcMar>
          </w:tcPr>
          <w:p>
            <w:r>
              <w:rPr>
                <w:b w:val="false"/>
                <w:bCs w:val="false"/>
                <w:color w:val="000000"/>
                <w:sz w:val="20"/>
                <w:szCs w:val="20"/>
              </w:rPr>
              <w:t xml:space="preserve">FARC and ELN formally established, drawing on peasant self-defense networks and Cuban-Revolution-inspired student movements respectively</w:t>
            </w:r>
          </w:p>
        </w:tc>
      </w:tr>
      <w:tr>
        <w:tc>
          <w:tcPr>
            <w:tcW w:type="dxa" w:w="3000"/>
            <w:tcMar>
              <w:top w:type="dxa" w:w="100"/>
              <w:left w:type="dxa" w:w="120"/>
              <w:bottom w:type="dxa" w:w="100"/>
              <w:right w:type="dxa" w:w="120"/>
            </w:tcMar>
          </w:tcPr>
          <w:p>
            <w:r>
              <w:rPr>
                <w:b w:val="false"/>
                <w:bCs w:val="false"/>
                <w:color w:val="000000"/>
                <w:sz w:val="20"/>
                <w:szCs w:val="20"/>
              </w:rPr>
              <w:t xml:space="preserve">Cold War-Funded Insurgency</w:t>
            </w:r>
          </w:p>
        </w:tc>
        <w:tc>
          <w:tcPr>
            <w:tcW w:type="dxa" w:w="3000"/>
            <w:tcMar>
              <w:top w:type="dxa" w:w="100"/>
              <w:left w:type="dxa" w:w="120"/>
              <w:bottom w:type="dxa" w:w="100"/>
              <w:right w:type="dxa" w:w="120"/>
            </w:tcMar>
          </w:tcPr>
          <w:p>
            <w:r>
              <w:rPr>
                <w:b w:val="false"/>
                <w:bCs w:val="false"/>
                <w:color w:val="000000"/>
                <w:sz w:val="20"/>
                <w:szCs w:val="20"/>
              </w:rPr>
              <w:t xml:space="preserve">1960s–1989</w:t>
            </w:r>
          </w:p>
        </w:tc>
        <w:tc>
          <w:tcPr>
            <w:tcW w:type="dxa" w:w="3000"/>
            <w:tcMar>
              <w:top w:type="dxa" w:w="100"/>
              <w:left w:type="dxa" w:w="120"/>
              <w:bottom w:type="dxa" w:w="100"/>
              <w:right w:type="dxa" w:w="120"/>
            </w:tcMar>
          </w:tcPr>
          <w:p>
            <w:r>
              <w:rPr>
                <w:b w:val="false"/>
                <w:bCs w:val="false"/>
                <w:color w:val="000000"/>
                <w:sz w:val="20"/>
                <w:szCs w:val="20"/>
              </w:rPr>
              <w:t xml:space="preserve">FARC funded substantially by Soviet-aligned sources; guerrilla groups frame their struggle in Marxist-Leninist terms</w:t>
            </w:r>
          </w:p>
        </w:tc>
      </w:tr>
      <w:tr>
        <w:tc>
          <w:tcPr>
            <w:tcW w:type="dxa" w:w="3000"/>
            <w:tcMar>
              <w:top w:type="dxa" w:w="100"/>
              <w:left w:type="dxa" w:w="120"/>
              <w:bottom w:type="dxa" w:w="100"/>
              <w:right w:type="dxa" w:w="120"/>
            </w:tcMar>
          </w:tcPr>
          <w:p>
            <w:r>
              <w:rPr>
                <w:b w:val="false"/>
                <w:bCs w:val="false"/>
                <w:color w:val="000000"/>
                <w:sz w:val="20"/>
                <w:szCs w:val="20"/>
              </w:rPr>
              <w:t xml:space="preserve">Narco-Conflict Escalation</w:t>
            </w:r>
          </w:p>
        </w:tc>
        <w:tc>
          <w:tcPr>
            <w:tcW w:type="dxa" w:w="3000"/>
            <w:tcMar>
              <w:top w:type="dxa" w:w="100"/>
              <w:left w:type="dxa" w:w="120"/>
              <w:bottom w:type="dxa" w:w="100"/>
              <w:right w:type="dxa" w:w="120"/>
            </w:tcMar>
          </w:tcPr>
          <w:p>
            <w:r>
              <w:rPr>
                <w:b w:val="false"/>
                <w:bCs w:val="false"/>
                <w:color w:val="000000"/>
                <w:sz w:val="20"/>
                <w:szCs w:val="20"/>
              </w:rPr>
              <w:t xml:space="preserve">1989–1999</w:t>
            </w:r>
          </w:p>
        </w:tc>
        <w:tc>
          <w:tcPr>
            <w:tcW w:type="dxa" w:w="3000"/>
            <w:tcMar>
              <w:top w:type="dxa" w:w="100"/>
              <w:left w:type="dxa" w:w="120"/>
              <w:bottom w:type="dxa" w:w="100"/>
              <w:right w:type="dxa" w:w="120"/>
            </w:tcMar>
          </w:tcPr>
          <w:p>
            <w:r>
              <w:rPr>
                <w:b w:val="false"/>
                <w:bCs w:val="false"/>
                <w:color w:val="000000"/>
                <w:sz w:val="20"/>
                <w:szCs w:val="20"/>
              </w:rPr>
              <w:t xml:space="preserve">Post-Cold War funding collapse pushes FARC toward kidnapping and drug trafficking; paramilitary consolidation into the AUC; twenty-five thousand murders recorded in 1995 alone</w:t>
            </w:r>
          </w:p>
        </w:tc>
      </w:tr>
      <w:tr>
        <w:tc>
          <w:tcPr>
            <w:tcW w:type="dxa" w:w="3000"/>
            <w:tcMar>
              <w:top w:type="dxa" w:w="100"/>
              <w:left w:type="dxa" w:w="120"/>
              <w:bottom w:type="dxa" w:w="100"/>
              <w:right w:type="dxa" w:w="120"/>
            </w:tcMar>
          </w:tcPr>
          <w:p>
            <w:r>
              <w:rPr>
                <w:b w:val="false"/>
                <w:bCs w:val="false"/>
                <w:color w:val="000000"/>
                <w:sz w:val="20"/>
                <w:szCs w:val="20"/>
              </w:rPr>
              <w:t xml:space="preserve">Paramilitary Demobilization &amp; State Offensive</w:t>
            </w:r>
          </w:p>
        </w:tc>
        <w:tc>
          <w:tcPr>
            <w:tcW w:type="dxa" w:w="3000"/>
            <w:tcMar>
              <w:top w:type="dxa" w:w="100"/>
              <w:left w:type="dxa" w:w="120"/>
              <w:bottom w:type="dxa" w:w="100"/>
              <w:right w:type="dxa" w:w="120"/>
            </w:tcMar>
          </w:tcPr>
          <w:p>
            <w:r>
              <w:rPr>
                <w:b w:val="false"/>
                <w:bCs w:val="false"/>
                <w:color w:val="000000"/>
                <w:sz w:val="20"/>
                <w:szCs w:val="20"/>
              </w:rPr>
              <w:t xml:space="preserve">2000s</w:t>
            </w:r>
          </w:p>
        </w:tc>
        <w:tc>
          <w:tcPr>
            <w:tcW w:type="dxa" w:w="3000"/>
            <w:tcMar>
              <w:top w:type="dxa" w:w="100"/>
              <w:left w:type="dxa" w:w="120"/>
              <w:bottom w:type="dxa" w:w="100"/>
              <w:right w:type="dxa" w:w="120"/>
            </w:tcMar>
          </w:tcPr>
          <w:p>
            <w:r>
              <w:rPr>
                <w:b w:val="false"/>
                <w:bCs w:val="false"/>
                <w:color w:val="000000"/>
                <w:sz w:val="20"/>
                <w:szCs w:val="20"/>
              </w:rPr>
              <w:t xml:space="preserve">AUC formally demobilizes in 2006 following negotiations; sustained state military pressure on FARC and ELN continues</w:t>
            </w:r>
          </w:p>
        </w:tc>
      </w:tr>
      <w:tr>
        <w:tc>
          <w:tcPr>
            <w:tcW w:type="dxa" w:w="3000"/>
            <w:tcMar>
              <w:top w:type="dxa" w:w="100"/>
              <w:left w:type="dxa" w:w="120"/>
              <w:bottom w:type="dxa" w:w="100"/>
              <w:right w:type="dxa" w:w="120"/>
            </w:tcMar>
          </w:tcPr>
          <w:p>
            <w:r>
              <w:rPr>
                <w:b w:val="false"/>
                <w:bCs w:val="false"/>
                <w:color w:val="000000"/>
                <w:sz w:val="20"/>
                <w:szCs w:val="20"/>
              </w:rPr>
              <w:t xml:space="preserve">Peace Negotiation &amp; Accord</w:t>
            </w:r>
          </w:p>
        </w:tc>
        <w:tc>
          <w:tcPr>
            <w:tcW w:type="dxa" w:w="3000"/>
            <w:tcMar>
              <w:top w:type="dxa" w:w="100"/>
              <w:left w:type="dxa" w:w="120"/>
              <w:bottom w:type="dxa" w:w="100"/>
              <w:right w:type="dxa" w:w="120"/>
            </w:tcMar>
          </w:tcPr>
          <w:p>
            <w:r>
              <w:rPr>
                <w:b w:val="false"/>
                <w:bCs w:val="false"/>
                <w:color w:val="000000"/>
                <w:sz w:val="20"/>
                <w:szCs w:val="20"/>
              </w:rPr>
              <w:t xml:space="preserve">2012–2016</w:t>
            </w:r>
          </w:p>
        </w:tc>
        <w:tc>
          <w:tcPr>
            <w:tcW w:type="dxa" w:w="3000"/>
            <w:tcMar>
              <w:top w:type="dxa" w:w="100"/>
              <w:left w:type="dxa" w:w="120"/>
              <w:bottom w:type="dxa" w:w="100"/>
              <w:right w:type="dxa" w:w="120"/>
            </w:tcMar>
          </w:tcPr>
          <w:p>
            <w:r>
              <w:rPr>
                <w:b w:val="false"/>
                <w:bCs w:val="false"/>
                <w:color w:val="000000"/>
                <w:sz w:val="20"/>
                <w:szCs w:val="20"/>
              </w:rPr>
              <w:t xml:space="preserve">Formal talks between Government and FARC culminate in the 2016 peace accord and FARC's transition to a legal political party</w:t>
            </w:r>
          </w:p>
        </w:tc>
      </w:tr>
      <w:tr>
        <w:tc>
          <w:tcPr>
            <w:tcW w:type="dxa" w:w="3000"/>
            <w:tcMar>
              <w:top w:type="dxa" w:w="100"/>
              <w:left w:type="dxa" w:w="120"/>
              <w:bottom w:type="dxa" w:w="100"/>
              <w:right w:type="dxa" w:w="120"/>
            </w:tcMar>
          </w:tcPr>
          <w:p>
            <w:r>
              <w:rPr>
                <w:b w:val="false"/>
                <w:bCs w:val="false"/>
                <w:color w:val="000000"/>
                <w:sz w:val="20"/>
                <w:szCs w:val="20"/>
              </w:rPr>
              <w:t xml:space="preserve">Post-Accord / Ongoing Violence</w:t>
            </w:r>
          </w:p>
        </w:tc>
        <w:tc>
          <w:tcPr>
            <w:tcW w:type="dxa" w:w="3000"/>
            <w:tcMar>
              <w:top w:type="dxa" w:w="100"/>
              <w:left w:type="dxa" w:w="120"/>
              <w:bottom w:type="dxa" w:w="100"/>
              <w:right w:type="dxa" w:w="120"/>
            </w:tcMar>
          </w:tcPr>
          <w:p>
            <w:r>
              <w:rPr>
                <w:b w:val="false"/>
                <w:bCs w:val="false"/>
                <w:color w:val="000000"/>
                <w:sz w:val="20"/>
                <w:szCs w:val="20"/>
              </w:rPr>
              <w:t xml:space="preserve">2016–present</w:t>
            </w:r>
          </w:p>
        </w:tc>
        <w:tc>
          <w:tcPr>
            <w:tcW w:type="dxa" w:w="3000"/>
            <w:tcMar>
              <w:top w:type="dxa" w:w="100"/>
              <w:left w:type="dxa" w:w="120"/>
              <w:bottom w:type="dxa" w:w="100"/>
              <w:right w:type="dxa" w:w="120"/>
            </w:tcMar>
          </w:tcPr>
          <w:p>
            <w:r>
              <w:rPr>
                <w:b w:val="false"/>
                <w:bCs w:val="false"/>
                <w:color w:val="000000"/>
                <w:sz w:val="20"/>
                <w:szCs w:val="20"/>
              </w:rPr>
              <w:t xml:space="preserve">ELN and FARC dissident factions continue armed activity; JEP prosecutes conflict-era crimes (see Deliverable 2) while new displacement and violence continue in parallel</w:t>
            </w:r>
          </w:p>
        </w:tc>
      </w:tr>
    </w:tbl>
    <w:p>
      <w:pPr>
        <w:spacing w:after="240" w:before="80"/>
      </w:pPr>
      <w:r>
        <w:rPr>
          <w:i/>
          <w:iCs/>
          <w:color w:val="595959"/>
          <w:sz w:val="18"/>
          <w:szCs w:val="18"/>
        </w:rPr>
        <w:t xml:space="preserve">Table 2. Phases of the Colombian armed conflict, 1948–present.</w:t>
      </w:r>
    </w:p>
    <w:p>
      <w:pPr>
        <w:pStyle w:val="Heading1"/>
        <w:pBdr>
          <w:bottom w:val="single" w:color="1B2A4A" w:sz="6" w:space="4"/>
        </w:pBdr>
        <w:spacing w:after="200" w:before="400"/>
      </w:pPr>
      <w:r>
        <w:rPr>
          <w:b/>
          <w:bCs/>
          <w:color w:val="1B2A4A"/>
        </w:rPr>
        <w:t xml:space="preserve">4. Geographic Mapping</w:t>
      </w:r>
    </w:p>
    <w:p>
      <w:pPr>
        <w:pStyle w:val="Heading2"/>
        <w:spacing w:after="150" w:before="300"/>
      </w:pPr>
      <w:r>
        <w:rPr>
          <w:b/>
          <w:bCs/>
          <w:color w:val="1B2A4A"/>
        </w:rPr>
        <w:t xml:space="preserve">4.1 Organizational-Territorial Correspondence</w:t>
      </w:r>
    </w:p>
    <w:p>
      <w:pPr>
        <w:spacing w:after="160" w:line="276"/>
        <w:jc w:val="both"/>
      </w:pPr>
      <w:r>
        <w:rPr>
          <w:sz w:val="22"/>
          <w:szCs w:val="22"/>
        </w:rPr>
        <w:t xml:space="preserve">Here's an interesting pattern from the academic conflict-event literature: Colombian armed actors' organizational structures track geography almost exactly. FARC's regional "blocs," Colombian Army divisions, and National Police regions have historically covered nearly identical territorial zones. That means Colombia's conflict isn't really one undifferentiated national war — it's a set of regionally distinct sub-conflicts, each with its own actor dynamics. And within those matched zones, over three-quarters of recorded conflict interactions are specifically between FARC and state forces.</w:t>
      </w:r>
    </w:p>
    <w:p>
      <w:pPr>
        <w:pStyle w:val="Heading2"/>
        <w:spacing w:after="150" w:before="300"/>
      </w:pPr>
      <w:r>
        <w:rPr>
          <w:b/>
          <w:bCs/>
          <w:color w:val="1B2A4A"/>
        </w:rPr>
        <w:t xml:space="preserve">4.2 Priority Regions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B2A4A" w:color="auto" w:val="clear"/>
            <w:tcMar>
              <w:top w:type="dxa" w:w="100"/>
              <w:left w:type="dxa" w:w="120"/>
              <w:bottom w:type="dxa" w:w="100"/>
              <w:right w:type="dxa" w:w="120"/>
            </w:tcMar>
          </w:tcPr>
          <w:p>
            <w:r>
              <w:rPr>
                <w:b/>
                <w:bCs/>
                <w:color w:val="FFFFFF"/>
                <w:sz w:val="20"/>
                <w:szCs w:val="20"/>
              </w:rPr>
              <w:t xml:space="preserve">Region</w:t>
            </w:r>
          </w:p>
        </w:tc>
        <w:tc>
          <w:tcPr>
            <w:tcW w:type="dxa" w:w="3000"/>
            <w:shd w:fill="1B2A4A" w:color="auto" w:val="clear"/>
            <w:tcMar>
              <w:top w:type="dxa" w:w="100"/>
              <w:left w:type="dxa" w:w="120"/>
              <w:bottom w:type="dxa" w:w="100"/>
              <w:right w:type="dxa" w:w="120"/>
            </w:tcMar>
          </w:tcPr>
          <w:p>
            <w:r>
              <w:rPr>
                <w:b/>
                <w:bCs/>
                <w:color w:val="FFFFFF"/>
                <w:sz w:val="20"/>
                <w:szCs w:val="20"/>
              </w:rPr>
              <w:t xml:space="preserve">Dominant Historical Actors</w:t>
            </w:r>
          </w:p>
        </w:tc>
        <w:tc>
          <w:tcPr>
            <w:tcW w:type="dxa" w:w="3000"/>
            <w:shd w:fill="1B2A4A" w:color="auto" w:val="clear"/>
            <w:tcMar>
              <w:top w:type="dxa" w:w="100"/>
              <w:left w:type="dxa" w:w="120"/>
              <w:bottom w:type="dxa" w:w="100"/>
              <w:right w:type="dxa" w:w="120"/>
            </w:tcMar>
          </w:tcPr>
          <w:p>
            <w:r>
              <w:rPr>
                <w:b/>
                <w:bCs/>
                <w:color w:val="FFFFFF"/>
                <w:sz w:val="20"/>
                <w:szCs w:val="20"/>
              </w:rPr>
              <w:t xml:space="preserve">Trauma Exposure Profile</w:t>
            </w:r>
          </w:p>
        </w:tc>
      </w:tr>
      <w:tr>
        <w:tc>
          <w:tcPr>
            <w:tcW w:type="dxa" w:w="3000"/>
            <w:tcMar>
              <w:top w:type="dxa" w:w="100"/>
              <w:left w:type="dxa" w:w="120"/>
              <w:bottom w:type="dxa" w:w="100"/>
              <w:right w:type="dxa" w:w="120"/>
            </w:tcMar>
          </w:tcPr>
          <w:p>
            <w:r>
              <w:rPr>
                <w:b w:val="false"/>
                <w:bCs w:val="false"/>
                <w:color w:val="000000"/>
                <w:sz w:val="20"/>
                <w:szCs w:val="20"/>
              </w:rPr>
              <w:t xml:space="preserve">Chocó (Pacific region)</w:t>
            </w:r>
          </w:p>
        </w:tc>
        <w:tc>
          <w:tcPr>
            <w:tcW w:type="dxa" w:w="3000"/>
            <w:tcMar>
              <w:top w:type="dxa" w:w="100"/>
              <w:left w:type="dxa" w:w="120"/>
              <w:bottom w:type="dxa" w:w="100"/>
              <w:right w:type="dxa" w:w="120"/>
            </w:tcMar>
          </w:tcPr>
          <w:p>
            <w:r>
              <w:rPr>
                <w:b w:val="false"/>
                <w:bCs w:val="false"/>
                <w:color w:val="000000"/>
                <w:sz w:val="20"/>
                <w:szCs w:val="20"/>
              </w:rPr>
              <w:t xml:space="preserve">FARC, Indigenous self-defense groups (FARIP), AUC</w:t>
            </w:r>
          </w:p>
        </w:tc>
        <w:tc>
          <w:tcPr>
            <w:tcW w:type="dxa" w:w="3000"/>
            <w:tcMar>
              <w:top w:type="dxa" w:w="100"/>
              <w:left w:type="dxa" w:w="120"/>
              <w:bottom w:type="dxa" w:w="100"/>
              <w:right w:type="dxa" w:w="120"/>
            </w:tcMar>
          </w:tcPr>
          <w:p>
            <w:r>
              <w:rPr>
                <w:b w:val="false"/>
                <w:bCs w:val="false"/>
                <w:color w:val="000000"/>
                <w:sz w:val="20"/>
                <w:szCs w:val="20"/>
              </w:rPr>
              <w:t xml:space="preserve">High Indigenous and Afro-Colombian displacement; historically underserved by state services and epidemiological research</w:t>
            </w:r>
          </w:p>
        </w:tc>
      </w:tr>
      <w:tr>
        <w:tc>
          <w:tcPr>
            <w:tcW w:type="dxa" w:w="3000"/>
            <w:tcMar>
              <w:top w:type="dxa" w:w="100"/>
              <w:left w:type="dxa" w:w="120"/>
              <w:bottom w:type="dxa" w:w="100"/>
              <w:right w:type="dxa" w:w="120"/>
            </w:tcMar>
          </w:tcPr>
          <w:p>
            <w:r>
              <w:rPr>
                <w:b w:val="false"/>
                <w:bCs w:val="false"/>
                <w:color w:val="000000"/>
                <w:sz w:val="20"/>
                <w:szCs w:val="20"/>
              </w:rPr>
              <w:t xml:space="preserve">Cauca / Nariño (southwest)</w:t>
            </w:r>
          </w:p>
        </w:tc>
        <w:tc>
          <w:tcPr>
            <w:tcW w:type="dxa" w:w="3000"/>
            <w:tcMar>
              <w:top w:type="dxa" w:w="100"/>
              <w:left w:type="dxa" w:w="120"/>
              <w:bottom w:type="dxa" w:w="100"/>
              <w:right w:type="dxa" w:w="120"/>
            </w:tcMar>
          </w:tcPr>
          <w:p>
            <w:r>
              <w:rPr>
                <w:b w:val="false"/>
                <w:bCs w:val="false"/>
                <w:color w:val="000000"/>
                <w:sz w:val="20"/>
                <w:szCs w:val="20"/>
              </w:rPr>
              <w:t xml:space="preserve">FARC, FARC dissidents, ELN</w:t>
            </w:r>
          </w:p>
        </w:tc>
        <w:tc>
          <w:tcPr>
            <w:tcW w:type="dxa" w:w="3000"/>
            <w:tcMar>
              <w:top w:type="dxa" w:w="100"/>
              <w:left w:type="dxa" w:w="120"/>
              <w:bottom w:type="dxa" w:w="100"/>
              <w:right w:type="dxa" w:w="120"/>
            </w:tcMar>
          </w:tcPr>
          <w:p>
            <w:r>
              <w:rPr>
                <w:b w:val="false"/>
                <w:bCs w:val="false"/>
                <w:color w:val="000000"/>
                <w:sz w:val="20"/>
                <w:szCs w:val="20"/>
              </w:rPr>
              <w:t xml:space="preserve">Ongoing active-conflict zone; coca cultivation-linked displacement; continuing violence post-2016 accord</w:t>
            </w:r>
          </w:p>
        </w:tc>
      </w:tr>
      <w:tr>
        <w:tc>
          <w:tcPr>
            <w:tcW w:type="dxa" w:w="3000"/>
            <w:tcMar>
              <w:top w:type="dxa" w:w="100"/>
              <w:left w:type="dxa" w:w="120"/>
              <w:bottom w:type="dxa" w:w="100"/>
              <w:right w:type="dxa" w:w="120"/>
            </w:tcMar>
          </w:tcPr>
          <w:p>
            <w:r>
              <w:rPr>
                <w:b w:val="false"/>
                <w:bCs w:val="false"/>
                <w:color w:val="000000"/>
                <w:sz w:val="20"/>
                <w:szCs w:val="20"/>
              </w:rPr>
              <w:t xml:space="preserve">Catatumbo (Norte de Santander)</w:t>
            </w:r>
          </w:p>
        </w:tc>
        <w:tc>
          <w:tcPr>
            <w:tcW w:type="dxa" w:w="3000"/>
            <w:tcMar>
              <w:top w:type="dxa" w:w="100"/>
              <w:left w:type="dxa" w:w="120"/>
              <w:bottom w:type="dxa" w:w="100"/>
              <w:right w:type="dxa" w:w="120"/>
            </w:tcMar>
          </w:tcPr>
          <w:p>
            <w:r>
              <w:rPr>
                <w:b w:val="false"/>
                <w:bCs w:val="false"/>
                <w:color w:val="000000"/>
                <w:sz w:val="20"/>
                <w:szCs w:val="20"/>
              </w:rPr>
              <w:t xml:space="preserve">ELN, FARC dissidents</w:t>
            </w:r>
          </w:p>
        </w:tc>
        <w:tc>
          <w:tcPr>
            <w:tcW w:type="dxa" w:w="3000"/>
            <w:tcMar>
              <w:top w:type="dxa" w:w="100"/>
              <w:left w:type="dxa" w:w="120"/>
              <w:bottom w:type="dxa" w:w="100"/>
              <w:right w:type="dxa" w:w="120"/>
            </w:tcMar>
          </w:tcPr>
          <w:p>
            <w:r>
              <w:rPr>
                <w:b w:val="false"/>
                <w:bCs w:val="false"/>
                <w:color w:val="000000"/>
                <w:sz w:val="20"/>
                <w:szCs w:val="20"/>
              </w:rPr>
              <w:t xml:space="preserve">High-intensity ongoing violence; among the least-resourced regions for victim services</w:t>
            </w:r>
          </w:p>
        </w:tc>
      </w:tr>
      <w:tr>
        <w:tc>
          <w:tcPr>
            <w:tcW w:type="dxa" w:w="3000"/>
            <w:tcMar>
              <w:top w:type="dxa" w:w="100"/>
              <w:left w:type="dxa" w:w="120"/>
              <w:bottom w:type="dxa" w:w="100"/>
              <w:right w:type="dxa" w:w="120"/>
            </w:tcMar>
          </w:tcPr>
          <w:p>
            <w:r>
              <w:rPr>
                <w:b w:val="false"/>
                <w:bCs w:val="false"/>
                <w:color w:val="000000"/>
                <w:sz w:val="20"/>
                <w:szCs w:val="20"/>
              </w:rPr>
              <w:t xml:space="preserve">Caribbean coast / Magdalena / Cesar / La Guajira</w:t>
            </w:r>
          </w:p>
        </w:tc>
        <w:tc>
          <w:tcPr>
            <w:tcW w:type="dxa" w:w="3000"/>
            <w:tcMar>
              <w:top w:type="dxa" w:w="100"/>
              <w:left w:type="dxa" w:w="120"/>
              <w:bottom w:type="dxa" w:w="100"/>
              <w:right w:type="dxa" w:w="120"/>
            </w:tcMar>
          </w:tcPr>
          <w:p>
            <w:r>
              <w:rPr>
                <w:b w:val="false"/>
                <w:bCs w:val="false"/>
                <w:color w:val="000000"/>
                <w:sz w:val="20"/>
                <w:szCs w:val="20"/>
              </w:rPr>
              <w:t xml:space="preserve">AUC Northern Bloc</w:t>
            </w:r>
          </w:p>
        </w:tc>
        <w:tc>
          <w:tcPr>
            <w:tcW w:type="dxa" w:w="3000"/>
            <w:tcMar>
              <w:top w:type="dxa" w:w="100"/>
              <w:left w:type="dxa" w:w="120"/>
              <w:bottom w:type="dxa" w:w="100"/>
              <w:right w:type="dxa" w:w="120"/>
            </w:tcMar>
          </w:tcPr>
          <w:p>
            <w:r>
              <w:rPr>
                <w:b w:val="false"/>
                <w:bCs w:val="false"/>
                <w:color w:val="000000"/>
                <w:sz w:val="20"/>
                <w:szCs w:val="20"/>
              </w:rPr>
              <w:t xml:space="preserve">Site of 456 documented massacres (1996–2006) by a single paramilitary bloc; concentrated civilian targeting for land control</w:t>
            </w:r>
          </w:p>
        </w:tc>
      </w:tr>
      <w:tr>
        <w:tc>
          <w:tcPr>
            <w:tcW w:type="dxa" w:w="3000"/>
            <w:tcMar>
              <w:top w:type="dxa" w:w="100"/>
              <w:left w:type="dxa" w:w="120"/>
              <w:bottom w:type="dxa" w:w="100"/>
              <w:right w:type="dxa" w:w="120"/>
            </w:tcMar>
          </w:tcPr>
          <w:p>
            <w:r>
              <w:rPr>
                <w:b w:val="false"/>
                <w:bCs w:val="false"/>
                <w:color w:val="000000"/>
                <w:sz w:val="20"/>
                <w:szCs w:val="20"/>
              </w:rPr>
              <w:t xml:space="preserve">Central &amp; Eastern Colombia (FARC historical heartland)</w:t>
            </w:r>
          </w:p>
        </w:tc>
        <w:tc>
          <w:tcPr>
            <w:tcW w:type="dxa" w:w="3000"/>
            <w:tcMar>
              <w:top w:type="dxa" w:w="100"/>
              <w:left w:type="dxa" w:w="120"/>
              <w:bottom w:type="dxa" w:w="100"/>
              <w:right w:type="dxa" w:w="120"/>
            </w:tcMar>
          </w:tcPr>
          <w:p>
            <w:r>
              <w:rPr>
                <w:b w:val="false"/>
                <w:bCs w:val="false"/>
                <w:color w:val="000000"/>
                <w:sz w:val="20"/>
                <w:szCs w:val="20"/>
              </w:rPr>
              <w:t xml:space="preserve">FARC (pre-2016), state forces</w:t>
            </w:r>
          </w:p>
        </w:tc>
        <w:tc>
          <w:tcPr>
            <w:tcW w:type="dxa" w:w="3000"/>
            <w:tcMar>
              <w:top w:type="dxa" w:w="100"/>
              <w:left w:type="dxa" w:w="120"/>
              <w:bottom w:type="dxa" w:w="100"/>
              <w:right w:type="dxa" w:w="120"/>
            </w:tcMar>
          </w:tcPr>
          <w:p>
            <w:r>
              <w:rPr>
                <w:b w:val="false"/>
                <w:bCs w:val="false"/>
                <w:color w:val="000000"/>
                <w:sz w:val="20"/>
                <w:szCs w:val="20"/>
              </w:rPr>
              <w:t xml:space="preserve">Longest-duration combat exposure; strongest overlap with JEP case prioritization given FARC's central role in the 2016 accord</w:t>
            </w:r>
          </w:p>
        </w:tc>
      </w:tr>
    </w:tbl>
    <w:p>
      <w:pPr>
        <w:spacing w:after="240" w:before="80"/>
      </w:pPr>
      <w:r>
        <w:rPr>
          <w:i/>
          <w:iCs/>
          <w:color w:val="595959"/>
          <w:sz w:val="18"/>
          <w:szCs w:val="18"/>
        </w:rPr>
        <w:t xml:space="preserve">Table 3. Priority conflict-affected regions of Colombia mapped to dominant historical armed actors.</w:t>
      </w:r>
    </w:p>
    <w:p>
      <w:pPr>
        <w:pStyle w:val="Heading1"/>
        <w:pBdr>
          <w:bottom w:val="single" w:color="1B2A4A" w:sz="6" w:space="4"/>
        </w:pBdr>
        <w:spacing w:after="200" w:before="400"/>
      </w:pPr>
      <w:r>
        <w:rPr>
          <w:b/>
          <w:bCs/>
          <w:color w:val="1B2A4A"/>
        </w:rPr>
        <w:t xml:space="preserve">5. Trauma-Exposure Implications by Region</w:t>
      </w:r>
    </w:p>
    <w:p>
      <w:pPr>
        <w:spacing w:after="160" w:line="276"/>
        <w:jc w:val="both"/>
      </w:pPr>
      <w:r>
        <w:rPr>
          <w:sz w:val="22"/>
          <w:szCs w:val="22"/>
        </w:rPr>
        <w:t xml:space="preserve">Chocó, Cauca, and Nariño are the priority regions for both the Refugee/Displacement Intervention Framework (Deliverable 10) and the Truth &amp; Reconciliation Proposal's territorial support initiative (Deliverable 2) — disproportionate exposure, and a documented gap in existing data and services, make these three the obvious starting point.</w:t>
      </w:r>
    </w:p>
    <w:p>
      <w:pPr>
        <w:pStyle w:val="ListParagraph"/>
        <w:numPr>
          <w:ilvl w:val="0"/>
          <w:numId w:val="1"/>
        </w:numPr>
        <w:spacing w:after="100"/>
      </w:pPr>
      <w:r>
        <w:rPr>
          <w:sz w:val="22"/>
          <w:szCs w:val="22"/>
        </w:rPr>
        <w:t xml:space="preserve">Catatumbo is different from the other priority regions in one important way: it's still an active-violence zone, unlike any part of Sri Lanka this fellowship works in. Fellow-coordinated field activity there needs its own security protocols, not the ones written for a fully post-conflict setting.</w:t>
      </w:r>
    </w:p>
    <w:p>
      <w:pPr>
        <w:pStyle w:val="ListParagraph"/>
        <w:numPr>
          <w:ilvl w:val="0"/>
          <w:numId w:val="1"/>
        </w:numPr>
        <w:spacing w:after="100"/>
      </w:pPr>
      <w:r>
        <w:rPr>
          <w:sz w:val="22"/>
          <w:szCs w:val="22"/>
        </w:rPr>
        <w:t xml:space="preserve">The Caribbean coast's documented paramilitary massacre history makes it a priority region for the JEP-coordinated restorative sanctions support initiative described in Deliverable 2.</w:t>
      </w:r>
    </w:p>
    <w:p>
      <w:pPr>
        <w:pStyle w:val="Heading1"/>
        <w:pBdr>
          <w:bottom w:val="single" w:color="1B2A4A" w:sz="6" w:space="4"/>
        </w:pBdr>
        <w:spacing w:after="200" w:before="400"/>
      </w:pPr>
      <w:r>
        <w:rPr>
          <w:b/>
          <w:bCs/>
          <w:color w:val="1B2A4A"/>
        </w:rPr>
        <w:t xml:space="preserve">6. Data Limitations</w:t>
      </w:r>
    </w:p>
    <w:p>
      <w:pPr>
        <w:spacing w:after="160" w:line="276"/>
        <w:jc w:val="both"/>
      </w:pPr>
      <w:r>
        <w:rPr>
          <w:sz w:val="22"/>
          <w:szCs w:val="22"/>
        </w:rPr>
        <w:t xml:space="preserve">Colombia is in a much better position than Sri Lanka on data infrastructure. There are NLP-driven geolocation projects mapping armed-actor presence from 1988 to 2017, and long-running documentation efforts like CINEP's Noche y Niebla project, which cross-references multiple sources to verify individual violent incidents. A more technical follow-on to this report should pull directly from those existing geo-referenced datasets rather than relying on the narrative-history synthesis here.</w:t>
      </w:r>
    </w:p>
    <w:p>
      <w:pPr>
        <w:pStyle w:val="Heading1"/>
        <w:pBdr>
          <w:bottom w:val="single" w:color="1B2A4A" w:sz="6" w:space="4"/>
        </w:pBdr>
        <w:spacing w:after="200" w:before="400"/>
      </w:pPr>
      <w:r>
        <w:rPr>
          <w:b/>
          <w:bCs/>
          <w:color w:val="1B2A4A"/>
        </w:rPr>
        <w:t xml:space="preserve">7. Relationship to Other Deliverables</w:t>
      </w:r>
    </w:p>
    <w:p>
      <w:pPr>
        <w:spacing w:after="160" w:line="276"/>
        <w:jc w:val="both"/>
      </w:pPr>
      <w:r>
        <w:rPr>
          <w:sz w:val="22"/>
          <w:szCs w:val="22"/>
        </w:rPr>
        <w:t xml:space="preserve">This mapping feeds territorial prioritization directly into the Truth &amp; Reconciliation Proposal (Deliverable 2), and should anchor geographic targeting in both the Refugee/Displacement Intervention Framework (Deliverable 10) and the Institutional Reform Blueprint (Deliverable 6). Given how much richer Colombia's conflict-data infrastructure already is, this report's regional priority list is also a natural fit to seed indicator geography for the Trauma Observatory Dashboard (Deliverable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ITTI | Conflict Mapping Report —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2026-07-20T20:55:56.828Z</dcterms:created>
  <dcterms:modified xsi:type="dcterms:W3CDTF">2026-07-20T20:55:56.828Z</dcterms:modified>
</cp:coreProperties>
</file>

<file path=docProps/custom.xml><?xml version="1.0" encoding="utf-8"?>
<Properties xmlns="http://schemas.openxmlformats.org/officeDocument/2006/custom-properties" xmlns:vt="http://schemas.openxmlformats.org/officeDocument/2006/docPropsVTypes"/>
</file>