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EFF"/>
          <w:sz w:val="76"/>
        </w:rPr>
        <w:br/>
        <w:br/>
        <w:t>BAK2ME</w:t>
      </w:r>
    </w:p>
    <w:p>
      <w:pPr>
        <w:jc w:val="center"/>
      </w:pPr>
      <w:r>
        <w:rPr>
          <w:b/>
          <w:color w:val="14213D"/>
          <w:sz w:val="44"/>
        </w:rPr>
        <w:t>Points, Rewards, Partners &amp; Anti-Fraud System</w:t>
      </w:r>
    </w:p>
    <w:p>
      <w:pPr>
        <w:jc w:val="center"/>
      </w:pPr>
      <w:r>
        <w:rPr>
          <w:color w:val="5B6472"/>
          <w:sz w:val="28"/>
        </w:rPr>
        <w:t>Product &amp; Engineering Specification</w:t>
      </w:r>
    </w:p>
    <w:p>
      <w:r>
        <w:br/>
      </w:r>
    </w:p>
    <w:p>
      <w:pPr>
        <w:jc w:val="center"/>
      </w:pPr>
      <w:r>
        <w:rPr>
          <w:b/>
          <w:color w:val="168C5A"/>
          <w:sz w:val="24"/>
        </w:rPr>
        <w:t>Positioning: Ghana's trusted property recovery network</w:t>
      </w:r>
    </w:p>
    <w:p>
      <w:pPr>
        <w:jc w:val="center"/>
      </w:pPr>
      <w:r>
        <w:rPr>
          <w:i/>
        </w:rPr>
        <w:t>Prepared September 2026 • v1.0</w:t>
      </w:r>
    </w:p>
    <w:p>
      <w:r>
        <w:br w:type="page"/>
      </w:r>
    </w:p>
    <w:p>
      <w:pPr>
        <w:pStyle w:val="Heading1"/>
      </w:pPr>
      <w:r>
        <w:t>1. Executive Summary</w:t>
      </w:r>
    </w:p>
    <w:p>
      <w:r>
        <w:t>Bak2Me should be built as a trust and recovery network, not merely a lost-item listing board. Its defensibility comes from verified recovery points, a controlled points economy, partner incentives, ownership verification, chain-of-custody records, fraud scoring, and institutional lost-property tooling.</w:t>
      </w:r>
    </w:p>
    <w:p>
      <w:r>
        <w:t>The central abuse case is collusion: an owner could intentionally hand an item to a friend, report it lost, and manufacture a recovery to farm points or rewards. Therefore, Bak2Me must never treat a user-confirmed return as sufficient evidence for a valuable reward. Rewards should depend on verification strength, relationship/risk signals, time delays, caps, and—where appropriate—independent partner custody.</w:t>
      </w:r>
    </w:p>
    <w:p>
      <w:pPr>
        <w:pStyle w:val="Heading1"/>
      </w:pPr>
      <w:r>
        <w:t>2. Core Product Model</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4213D"/>
          </w:tcPr>
          <w:p>
            <w:r/>
            <w:r>
              <w:rPr>
                <w:rFonts w:ascii="Aptos" w:hAnsi="Aptos"/>
                <w:b/>
                <w:color w:val="FFFFFF"/>
                <w:sz w:val="18"/>
              </w:rPr>
              <w:t>Actor</w:t>
            </w:r>
          </w:p>
        </w:tc>
        <w:tc>
          <w:tcPr>
            <w:tcW w:type="dxa" w:w="8064"/>
            <w:vAlign w:val="center"/>
            <w:shd w:fill="14213D"/>
          </w:tcPr>
          <w:p>
            <w:r/>
            <w:r>
              <w:rPr>
                <w:rFonts w:ascii="Aptos" w:hAnsi="Aptos"/>
                <w:b/>
                <w:color w:val="FFFFFF"/>
                <w:sz w:val="18"/>
              </w:rPr>
              <w:t>Role in the network</w:t>
            </w:r>
          </w:p>
        </w:tc>
      </w:tr>
      <w:tr>
        <w:tc>
          <w:tcPr>
            <w:tcW w:type="dxa" w:w="2160"/>
            <w:vAlign w:val="center"/>
          </w:tcPr>
          <w:p>
            <w:r/>
            <w:r>
              <w:rPr>
                <w:rFonts w:ascii="Aptos" w:hAnsi="Aptos"/>
                <w:b w:val="0"/>
                <w:sz w:val="17"/>
              </w:rPr>
              <w:t>Owner / Claimant</w:t>
            </w:r>
          </w:p>
        </w:tc>
        <w:tc>
          <w:tcPr>
            <w:tcW w:type="dxa" w:w="8064"/>
            <w:vAlign w:val="center"/>
          </w:tcPr>
          <w:p>
            <w:r/>
            <w:r>
              <w:rPr>
                <w:rFonts w:ascii="Aptos" w:hAnsi="Aptos"/>
                <w:b w:val="0"/>
                <w:sz w:val="17"/>
              </w:rPr>
              <w:t>Reports a loss, proves ownership, receives the item and may offer an optional reward.</w:t>
            </w:r>
          </w:p>
        </w:tc>
      </w:tr>
      <w:tr>
        <w:tc>
          <w:tcPr>
            <w:tcW w:type="dxa" w:w="2160"/>
            <w:vAlign w:val="center"/>
            <w:shd w:fill="F7F9FC"/>
          </w:tcPr>
          <w:p>
            <w:r/>
            <w:r>
              <w:rPr>
                <w:rFonts w:ascii="Aptos" w:hAnsi="Aptos"/>
                <w:b w:val="0"/>
                <w:sz w:val="17"/>
              </w:rPr>
              <w:t>Finder</w:t>
            </w:r>
          </w:p>
        </w:tc>
        <w:tc>
          <w:tcPr>
            <w:tcW w:type="dxa" w:w="8064"/>
            <w:vAlign w:val="center"/>
            <w:shd w:fill="F7F9FC"/>
          </w:tcPr>
          <w:p>
            <w:r/>
            <w:r>
              <w:rPr>
                <w:rFonts w:ascii="Aptos" w:hAnsi="Aptos"/>
                <w:b w:val="0"/>
                <w:sz w:val="17"/>
              </w:rPr>
              <w:t>Reports found property, preserves it, deposits it or coordinates a verified return.</w:t>
            </w:r>
          </w:p>
        </w:tc>
      </w:tr>
      <w:tr>
        <w:tc>
          <w:tcPr>
            <w:tcW w:type="dxa" w:w="2160"/>
            <w:vAlign w:val="center"/>
          </w:tcPr>
          <w:p>
            <w:r/>
            <w:r>
              <w:rPr>
                <w:rFonts w:ascii="Aptos" w:hAnsi="Aptos"/>
                <w:b w:val="0"/>
                <w:sz w:val="17"/>
              </w:rPr>
              <w:t>Bak2Me Recovery Point</w:t>
            </w:r>
          </w:p>
        </w:tc>
        <w:tc>
          <w:tcPr>
            <w:tcW w:type="dxa" w:w="8064"/>
            <w:vAlign w:val="center"/>
          </w:tcPr>
          <w:p>
            <w:r/>
            <w:r>
              <w:rPr>
                <w:rFonts w:ascii="Aptos" w:hAnsi="Aptos"/>
                <w:b w:val="0"/>
                <w:sz w:val="17"/>
              </w:rPr>
              <w:t>Trusted physical partner that receives, records, stores and releases found property.</w:t>
            </w:r>
          </w:p>
        </w:tc>
      </w:tr>
      <w:tr>
        <w:tc>
          <w:tcPr>
            <w:tcW w:type="dxa" w:w="2160"/>
            <w:vAlign w:val="center"/>
            <w:shd w:fill="F7F9FC"/>
          </w:tcPr>
          <w:p>
            <w:r/>
            <w:r>
              <w:rPr>
                <w:rFonts w:ascii="Aptos" w:hAnsi="Aptos"/>
                <w:b w:val="0"/>
                <w:sz w:val="17"/>
              </w:rPr>
              <w:t>Institutional Partner</w:t>
            </w:r>
          </w:p>
        </w:tc>
        <w:tc>
          <w:tcPr>
            <w:tcW w:type="dxa" w:w="8064"/>
            <w:vAlign w:val="center"/>
            <w:shd w:fill="F7F9FC"/>
          </w:tcPr>
          <w:p>
            <w:r/>
            <w:r>
              <w:rPr>
                <w:rFonts w:ascii="Aptos" w:hAnsi="Aptos"/>
                <w:b w:val="0"/>
                <w:sz w:val="17"/>
              </w:rPr>
              <w:t>Mall, school, university, hospital, hotel, transport operator, police or similar organization.</w:t>
            </w:r>
          </w:p>
        </w:tc>
      </w:tr>
      <w:tr>
        <w:tc>
          <w:tcPr>
            <w:tcW w:type="dxa" w:w="2160"/>
            <w:vAlign w:val="center"/>
          </w:tcPr>
          <w:p>
            <w:r/>
            <w:r>
              <w:rPr>
                <w:rFonts w:ascii="Aptos" w:hAnsi="Aptos"/>
                <w:b w:val="0"/>
                <w:sz w:val="17"/>
              </w:rPr>
              <w:t>Reward Partner</w:t>
            </w:r>
          </w:p>
        </w:tc>
        <w:tc>
          <w:tcPr>
            <w:tcW w:type="dxa" w:w="8064"/>
            <w:vAlign w:val="center"/>
          </w:tcPr>
          <w:p>
            <w:r/>
            <w:r>
              <w:rPr>
                <w:rFonts w:ascii="Aptos" w:hAnsi="Aptos"/>
                <w:b w:val="0"/>
                <w:sz w:val="17"/>
              </w:rPr>
              <w:t>Provides discounts, data, rides, vouchers or other benefits redeemable with BakPoints.</w:t>
            </w:r>
          </w:p>
        </w:tc>
      </w:tr>
      <w:tr>
        <w:tc>
          <w:tcPr>
            <w:tcW w:type="dxa" w:w="2160"/>
            <w:vAlign w:val="center"/>
            <w:shd w:fill="F7F9FC"/>
          </w:tcPr>
          <w:p>
            <w:r/>
            <w:r>
              <w:rPr>
                <w:rFonts w:ascii="Aptos" w:hAnsi="Aptos"/>
                <w:b w:val="0"/>
                <w:sz w:val="17"/>
              </w:rPr>
              <w:t>Logistics Partner</w:t>
            </w:r>
          </w:p>
        </w:tc>
        <w:tc>
          <w:tcPr>
            <w:tcW w:type="dxa" w:w="8064"/>
            <w:vAlign w:val="center"/>
            <w:shd w:fill="F7F9FC"/>
          </w:tcPr>
          <w:p>
            <w:r/>
            <w:r>
              <w:rPr>
                <w:rFonts w:ascii="Aptos" w:hAnsi="Aptos"/>
                <w:b w:val="0"/>
                <w:sz w:val="17"/>
              </w:rPr>
              <w:t>Provides tracked pickup/delivery for recovered property.</w:t>
            </w:r>
          </w:p>
        </w:tc>
      </w:tr>
      <w:tr>
        <w:tc>
          <w:tcPr>
            <w:tcW w:type="dxa" w:w="2160"/>
            <w:vAlign w:val="center"/>
          </w:tcPr>
          <w:p>
            <w:r/>
            <w:r>
              <w:rPr>
                <w:rFonts w:ascii="Aptos" w:hAnsi="Aptos"/>
                <w:b w:val="0"/>
                <w:sz w:val="17"/>
              </w:rPr>
              <w:t>Sponsor</w:t>
            </w:r>
          </w:p>
        </w:tc>
        <w:tc>
          <w:tcPr>
            <w:tcW w:type="dxa" w:w="8064"/>
            <w:vAlign w:val="center"/>
          </w:tcPr>
          <w:p>
            <w:r/>
            <w:r>
              <w:rPr>
                <w:rFonts w:ascii="Aptos" w:hAnsi="Aptos"/>
                <w:b w:val="0"/>
                <w:sz w:val="17"/>
              </w:rPr>
              <w:t>Funds campaigns or reward pools in exchange for measurable CSR/brand exposure.</w:t>
            </w:r>
          </w:p>
        </w:tc>
      </w:tr>
      <w:tr>
        <w:tc>
          <w:tcPr>
            <w:tcW w:type="dxa" w:w="2160"/>
            <w:vAlign w:val="center"/>
            <w:shd w:fill="F7F9FC"/>
          </w:tcPr>
          <w:p>
            <w:r/>
            <w:r>
              <w:rPr>
                <w:rFonts w:ascii="Aptos" w:hAnsi="Aptos"/>
                <w:b w:val="0"/>
                <w:sz w:val="17"/>
              </w:rPr>
              <w:t>Bak2Me</w:t>
            </w:r>
          </w:p>
        </w:tc>
        <w:tc>
          <w:tcPr>
            <w:tcW w:type="dxa" w:w="8064"/>
            <w:vAlign w:val="center"/>
            <w:shd w:fill="F7F9FC"/>
          </w:tcPr>
          <w:p>
            <w:r/>
            <w:r>
              <w:rPr>
                <w:rFonts w:ascii="Aptos" w:hAnsi="Aptos"/>
                <w:b w:val="0"/>
                <w:sz w:val="17"/>
              </w:rPr>
              <w:t>Provides matching, trust, verification, records, rewards, APIs, moderation and administration.</w:t>
            </w:r>
          </w:p>
        </w:tc>
      </w:tr>
    </w:tbl>
    <w:p/>
    <w:p>
      <w:pPr>
        <w:pStyle w:val="Heading1"/>
      </w:pPr>
      <w:r>
        <w:t>3. BakPoints Economy</w:t>
      </w:r>
    </w:p>
    <w:p>
      <w:r>
        <w:t>BakPoints are a controlled loyalty and reputation currency. They should not initially be freely convertible to cash. This reduces the direct financial incentive to manufacture fake recoveries while still making honest behavior rewarding.</w:t>
      </w:r>
    </w:p>
    <w:tbl>
      <w:tblPr>
        <w:tblStyle w:val="TableGrid"/>
        <w:tblW w:type="auto" w:w="0"/>
        <w:jc w:val="center"/>
        <w:tblLook w:firstColumn="1" w:firstRow="1" w:lastColumn="0" w:lastRow="0" w:noHBand="0" w:noVBand="1" w:val="04A0"/>
      </w:tblPr>
      <w:tblGrid>
        <w:gridCol w:w="3360"/>
        <w:gridCol w:w="3360"/>
        <w:gridCol w:w="3360"/>
      </w:tblGrid>
      <w:tr>
        <w:tc>
          <w:tcPr>
            <w:tcW w:type="dxa" w:w="3600"/>
            <w:vAlign w:val="center"/>
            <w:shd w:fill="14213D"/>
          </w:tcPr>
          <w:p>
            <w:r/>
            <w:r>
              <w:rPr>
                <w:rFonts w:ascii="Aptos" w:hAnsi="Aptos"/>
                <w:b/>
                <w:color w:val="FFFFFF"/>
                <w:sz w:val="18"/>
              </w:rPr>
              <w:t>Verified action</w:t>
            </w:r>
          </w:p>
        </w:tc>
        <w:tc>
          <w:tcPr>
            <w:tcW w:type="dxa" w:w="1728"/>
            <w:vAlign w:val="center"/>
            <w:shd w:fill="14213D"/>
          </w:tcPr>
          <w:p>
            <w:r/>
            <w:r>
              <w:rPr>
                <w:rFonts w:ascii="Aptos" w:hAnsi="Aptos"/>
                <w:b/>
                <w:color w:val="FFFFFF"/>
                <w:sz w:val="18"/>
              </w:rPr>
              <w:t>Illustrative points</w:t>
            </w:r>
          </w:p>
        </w:tc>
        <w:tc>
          <w:tcPr>
            <w:tcW w:type="dxa" w:w="4896"/>
            <w:vAlign w:val="center"/>
            <w:shd w:fill="14213D"/>
          </w:tcPr>
          <w:p>
            <w:r/>
            <w:r>
              <w:rPr>
                <w:rFonts w:ascii="Aptos" w:hAnsi="Aptos"/>
                <w:b/>
                <w:color w:val="FFFFFF"/>
                <w:sz w:val="18"/>
              </w:rPr>
              <w:t>Notes</w:t>
            </w:r>
          </w:p>
        </w:tc>
      </w:tr>
      <w:tr>
        <w:tc>
          <w:tcPr>
            <w:tcW w:type="dxa" w:w="3600"/>
            <w:vAlign w:val="center"/>
          </w:tcPr>
          <w:p>
            <w:r/>
            <w:r>
              <w:rPr>
                <w:rFonts w:ascii="Aptos" w:hAnsi="Aptos"/>
                <w:b w:val="0"/>
                <w:sz w:val="17"/>
              </w:rPr>
              <w:t>Complete verified profile</w:t>
            </w:r>
          </w:p>
        </w:tc>
        <w:tc>
          <w:tcPr>
            <w:tcW w:type="dxa" w:w="1728"/>
            <w:vAlign w:val="center"/>
          </w:tcPr>
          <w:p>
            <w:r/>
            <w:r>
              <w:rPr>
                <w:rFonts w:ascii="Aptos" w:hAnsi="Aptos"/>
                <w:b w:val="0"/>
                <w:sz w:val="17"/>
              </w:rPr>
              <w:t>10</w:t>
            </w:r>
          </w:p>
        </w:tc>
        <w:tc>
          <w:tcPr>
            <w:tcW w:type="dxa" w:w="4896"/>
            <w:vAlign w:val="center"/>
          </w:tcPr>
          <w:p>
            <w:r/>
            <w:r>
              <w:rPr>
                <w:rFonts w:ascii="Aptos" w:hAnsi="Aptos"/>
                <w:b w:val="0"/>
                <w:sz w:val="17"/>
              </w:rPr>
              <w:t>One-time; subject to identity/phone verification.</w:t>
            </w:r>
          </w:p>
        </w:tc>
      </w:tr>
      <w:tr>
        <w:tc>
          <w:tcPr>
            <w:tcW w:type="dxa" w:w="3600"/>
            <w:vAlign w:val="center"/>
            <w:shd w:fill="F7F9FC"/>
          </w:tcPr>
          <w:p>
            <w:r/>
            <w:r>
              <w:rPr>
                <w:rFonts w:ascii="Aptos" w:hAnsi="Aptos"/>
                <w:b w:val="0"/>
                <w:sz w:val="17"/>
              </w:rPr>
              <w:t>Report legitimate found item</w:t>
            </w:r>
          </w:p>
        </w:tc>
        <w:tc>
          <w:tcPr>
            <w:tcW w:type="dxa" w:w="1728"/>
            <w:vAlign w:val="center"/>
            <w:shd w:fill="F7F9FC"/>
          </w:tcPr>
          <w:p>
            <w:r/>
            <w:r>
              <w:rPr>
                <w:rFonts w:ascii="Aptos" w:hAnsi="Aptos"/>
                <w:b w:val="0"/>
                <w:sz w:val="17"/>
              </w:rPr>
              <w:t>5</w:t>
            </w:r>
          </w:p>
        </w:tc>
        <w:tc>
          <w:tcPr>
            <w:tcW w:type="dxa" w:w="4896"/>
            <w:vAlign w:val="center"/>
            <w:shd w:fill="F7F9FC"/>
          </w:tcPr>
          <w:p>
            <w:r/>
            <w:r>
              <w:rPr>
                <w:rFonts w:ascii="Aptos" w:hAnsi="Aptos"/>
                <w:b w:val="0"/>
                <w:sz w:val="17"/>
              </w:rPr>
              <w:t>Pending; no reward for duplicate/spam reports.</w:t>
            </w:r>
          </w:p>
        </w:tc>
      </w:tr>
      <w:tr>
        <w:tc>
          <w:tcPr>
            <w:tcW w:type="dxa" w:w="3600"/>
            <w:vAlign w:val="center"/>
          </w:tcPr>
          <w:p>
            <w:r/>
            <w:r>
              <w:rPr>
                <w:rFonts w:ascii="Aptos" w:hAnsi="Aptos"/>
                <w:b w:val="0"/>
                <w:sz w:val="17"/>
              </w:rPr>
              <w:t>Deposit at verified Recovery Point</w:t>
            </w:r>
          </w:p>
        </w:tc>
        <w:tc>
          <w:tcPr>
            <w:tcW w:type="dxa" w:w="1728"/>
            <w:vAlign w:val="center"/>
          </w:tcPr>
          <w:p>
            <w:r/>
            <w:r>
              <w:rPr>
                <w:rFonts w:ascii="Aptos" w:hAnsi="Aptos"/>
                <w:b w:val="0"/>
                <w:sz w:val="17"/>
              </w:rPr>
              <w:t>10</w:t>
            </w:r>
          </w:p>
        </w:tc>
        <w:tc>
          <w:tcPr>
            <w:tcW w:type="dxa" w:w="4896"/>
            <w:vAlign w:val="center"/>
          </w:tcPr>
          <w:p>
            <w:r/>
            <w:r>
              <w:rPr>
                <w:rFonts w:ascii="Aptos" w:hAnsi="Aptos"/>
                <w:b w:val="0"/>
                <w:sz w:val="17"/>
              </w:rPr>
              <w:t>Requires partner custody event.</w:t>
            </w:r>
          </w:p>
        </w:tc>
      </w:tr>
      <w:tr>
        <w:tc>
          <w:tcPr>
            <w:tcW w:type="dxa" w:w="3600"/>
            <w:vAlign w:val="center"/>
            <w:shd w:fill="F7F9FC"/>
          </w:tcPr>
          <w:p>
            <w:r/>
            <w:r>
              <w:rPr>
                <w:rFonts w:ascii="Aptos" w:hAnsi="Aptos"/>
                <w:b w:val="0"/>
                <w:sz w:val="17"/>
              </w:rPr>
              <w:t>Successful ordinary-item recovery</w:t>
            </w:r>
          </w:p>
        </w:tc>
        <w:tc>
          <w:tcPr>
            <w:tcW w:type="dxa" w:w="1728"/>
            <w:vAlign w:val="center"/>
            <w:shd w:fill="F7F9FC"/>
          </w:tcPr>
          <w:p>
            <w:r/>
            <w:r>
              <w:rPr>
                <w:rFonts w:ascii="Aptos" w:hAnsi="Aptos"/>
                <w:b w:val="0"/>
                <w:sz w:val="17"/>
              </w:rPr>
              <w:t>25</w:t>
            </w:r>
          </w:p>
        </w:tc>
        <w:tc>
          <w:tcPr>
            <w:tcW w:type="dxa" w:w="4896"/>
            <w:vAlign w:val="center"/>
            <w:shd w:fill="F7F9FC"/>
          </w:tcPr>
          <w:p>
            <w:r/>
            <w:r>
              <w:rPr>
                <w:rFonts w:ascii="Aptos" w:hAnsi="Aptos"/>
                <w:b w:val="0"/>
                <w:sz w:val="17"/>
              </w:rPr>
              <w:t>After return confirmation and risk checks.</w:t>
            </w:r>
          </w:p>
        </w:tc>
      </w:tr>
      <w:tr>
        <w:tc>
          <w:tcPr>
            <w:tcW w:type="dxa" w:w="3600"/>
            <w:vAlign w:val="center"/>
          </w:tcPr>
          <w:p>
            <w:r/>
            <w:r>
              <w:rPr>
                <w:rFonts w:ascii="Aptos" w:hAnsi="Aptos"/>
                <w:b w:val="0"/>
                <w:sz w:val="17"/>
              </w:rPr>
              <w:t>Successful ID/document recovery</w:t>
            </w:r>
          </w:p>
        </w:tc>
        <w:tc>
          <w:tcPr>
            <w:tcW w:type="dxa" w:w="1728"/>
            <w:vAlign w:val="center"/>
          </w:tcPr>
          <w:p>
            <w:r/>
            <w:r>
              <w:rPr>
                <w:rFonts w:ascii="Aptos" w:hAnsi="Aptos"/>
                <w:b w:val="0"/>
                <w:sz w:val="17"/>
              </w:rPr>
              <w:t>30</w:t>
            </w:r>
          </w:p>
        </w:tc>
        <w:tc>
          <w:tcPr>
            <w:tcW w:type="dxa" w:w="4896"/>
            <w:vAlign w:val="center"/>
          </w:tcPr>
          <w:p>
            <w:r/>
            <w:r>
              <w:rPr>
                <w:rFonts w:ascii="Aptos" w:hAnsi="Aptos"/>
                <w:b w:val="0"/>
                <w:sz w:val="17"/>
              </w:rPr>
              <w:t>Category bonus can be admin-configured.</w:t>
            </w:r>
          </w:p>
        </w:tc>
      </w:tr>
      <w:tr>
        <w:tc>
          <w:tcPr>
            <w:tcW w:type="dxa" w:w="3600"/>
            <w:vAlign w:val="center"/>
            <w:shd w:fill="F7F9FC"/>
          </w:tcPr>
          <w:p>
            <w:r/>
            <w:r>
              <w:rPr>
                <w:rFonts w:ascii="Aptos" w:hAnsi="Aptos"/>
                <w:b w:val="0"/>
                <w:sz w:val="17"/>
              </w:rPr>
              <w:t>Successful phone/laptop recovery</w:t>
            </w:r>
          </w:p>
        </w:tc>
        <w:tc>
          <w:tcPr>
            <w:tcW w:type="dxa" w:w="1728"/>
            <w:vAlign w:val="center"/>
            <w:shd w:fill="F7F9FC"/>
          </w:tcPr>
          <w:p>
            <w:r/>
            <w:r>
              <w:rPr>
                <w:rFonts w:ascii="Aptos" w:hAnsi="Aptos"/>
                <w:b w:val="0"/>
                <w:sz w:val="17"/>
              </w:rPr>
              <w:t>40</w:t>
            </w:r>
          </w:p>
        </w:tc>
        <w:tc>
          <w:tcPr>
            <w:tcW w:type="dxa" w:w="4896"/>
            <w:vAlign w:val="center"/>
            <w:shd w:fill="F7F9FC"/>
          </w:tcPr>
          <w:p>
            <w:r/>
            <w:r>
              <w:rPr>
                <w:rFonts w:ascii="Aptos" w:hAnsi="Aptos"/>
                <w:b w:val="0"/>
                <w:sz w:val="17"/>
              </w:rPr>
              <w:t>Not proportional to market value.</w:t>
            </w:r>
          </w:p>
        </w:tc>
      </w:tr>
      <w:tr>
        <w:tc>
          <w:tcPr>
            <w:tcW w:type="dxa" w:w="3600"/>
            <w:vAlign w:val="center"/>
          </w:tcPr>
          <w:p>
            <w:r/>
            <w:r>
              <w:rPr>
                <w:rFonts w:ascii="Aptos" w:hAnsi="Aptos"/>
                <w:b w:val="0"/>
                <w:sz w:val="17"/>
              </w:rPr>
              <w:t>Owner confirms recovery</w:t>
            </w:r>
          </w:p>
        </w:tc>
        <w:tc>
          <w:tcPr>
            <w:tcW w:type="dxa" w:w="1728"/>
            <w:vAlign w:val="center"/>
          </w:tcPr>
          <w:p>
            <w:r/>
            <w:r>
              <w:rPr>
                <w:rFonts w:ascii="Aptos" w:hAnsi="Aptos"/>
                <w:b w:val="0"/>
                <w:sz w:val="17"/>
              </w:rPr>
              <w:t>10</w:t>
            </w:r>
          </w:p>
        </w:tc>
        <w:tc>
          <w:tcPr>
            <w:tcW w:type="dxa" w:w="4896"/>
            <w:vAlign w:val="center"/>
          </w:tcPr>
          <w:p>
            <w:r/>
            <w:r>
              <w:rPr>
                <w:rFonts w:ascii="Aptos" w:hAnsi="Aptos"/>
                <w:b w:val="0"/>
                <w:sz w:val="17"/>
              </w:rPr>
              <w:t>May be limited to prevent reciprocal farming.</w:t>
            </w:r>
          </w:p>
        </w:tc>
      </w:tr>
      <w:tr>
        <w:tc>
          <w:tcPr>
            <w:tcW w:type="dxa" w:w="3600"/>
            <w:vAlign w:val="center"/>
            <w:shd w:fill="F7F9FC"/>
          </w:tcPr>
          <w:p>
            <w:r/>
            <w:r>
              <w:rPr>
                <w:rFonts w:ascii="Aptos" w:hAnsi="Aptos"/>
                <w:b w:val="0"/>
                <w:sz w:val="17"/>
              </w:rPr>
              <w:t>Milestone: 5 verified recoveries</w:t>
            </w:r>
          </w:p>
        </w:tc>
        <w:tc>
          <w:tcPr>
            <w:tcW w:type="dxa" w:w="1728"/>
            <w:vAlign w:val="center"/>
            <w:shd w:fill="F7F9FC"/>
          </w:tcPr>
          <w:p>
            <w:r/>
            <w:r>
              <w:rPr>
                <w:rFonts w:ascii="Aptos" w:hAnsi="Aptos"/>
                <w:b w:val="0"/>
                <w:sz w:val="17"/>
              </w:rPr>
              <w:t>Bonus</w:t>
            </w:r>
          </w:p>
        </w:tc>
        <w:tc>
          <w:tcPr>
            <w:tcW w:type="dxa" w:w="4896"/>
            <w:vAlign w:val="center"/>
            <w:shd w:fill="F7F9FC"/>
          </w:tcPr>
          <w:p>
            <w:r/>
            <w:r>
              <w:rPr>
                <w:rFonts w:ascii="Aptos" w:hAnsi="Aptos"/>
                <w:b w:val="0"/>
                <w:sz w:val="17"/>
              </w:rPr>
              <w:t>Admin-configurable campaign/milestone.</w:t>
            </w:r>
          </w:p>
        </w:tc>
      </w:tr>
      <w:tr>
        <w:tc>
          <w:tcPr>
            <w:tcW w:type="dxa" w:w="3600"/>
            <w:vAlign w:val="center"/>
          </w:tcPr>
          <w:p>
            <w:r/>
            <w:r>
              <w:rPr>
                <w:rFonts w:ascii="Aptos" w:hAnsi="Aptos"/>
                <w:b w:val="0"/>
                <w:sz w:val="17"/>
              </w:rPr>
              <w:t>Fraudulent recovery</w:t>
            </w:r>
          </w:p>
        </w:tc>
        <w:tc>
          <w:tcPr>
            <w:tcW w:type="dxa" w:w="1728"/>
            <w:vAlign w:val="center"/>
          </w:tcPr>
          <w:p>
            <w:r/>
            <w:r>
              <w:rPr>
                <w:rFonts w:ascii="Aptos" w:hAnsi="Aptos"/>
                <w:b w:val="0"/>
                <w:sz w:val="17"/>
              </w:rPr>
              <w:t>-100 / freeze</w:t>
            </w:r>
          </w:p>
        </w:tc>
        <w:tc>
          <w:tcPr>
            <w:tcW w:type="dxa" w:w="4896"/>
            <w:vAlign w:val="center"/>
          </w:tcPr>
          <w:p>
            <w:r/>
            <w:r>
              <w:rPr>
                <w:rFonts w:ascii="Aptos" w:hAnsi="Aptos"/>
                <w:b w:val="0"/>
                <w:sz w:val="17"/>
              </w:rPr>
              <w:t>May also trigger suspension and reward reversal.</w:t>
            </w:r>
          </w:p>
        </w:tc>
      </w:tr>
    </w:tbl>
    <w:p/>
    <w:p>
      <w:pPr>
        <w:pStyle w:val="Heading1"/>
      </w:pPr>
      <w:r>
        <w:t>4. Reward Lifecycle</w:t>
      </w:r>
    </w:p>
    <w:p>
      <w:r>
        <w:t>Recommended state machine:</w:t>
      </w:r>
    </w:p>
    <w:p>
      <w:pPr>
        <w:jc w:val="center"/>
      </w:pPr>
      <w:r>
        <w:rPr>
          <w:b/>
          <w:color w:val="1F5EFF"/>
        </w:rPr>
        <w:t>FOUND → DEPOSITED → MATCHED → CLAIM SUBMITTED → OWNERSHIP VERIFIED → RETURNED → POINTS PENDING → CLEARED</w:t>
      </w:r>
    </w:p>
    <w:p>
      <w:r>
        <w:t>Points should normally remain pending for 7–14 days, configurable by admins. A fraud review, dispute, chargeback, or suspicious relationship can pause or reverse them before clearance.</w:t>
      </w:r>
    </w:p>
    <w:p>
      <w:pPr>
        <w:pStyle w:val="Heading1"/>
      </w:pPr>
      <w:r>
        <w:t>5. Verification Levels &amp; Reward Multipliers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vAlign w:val="center"/>
            <w:shd w:fill="14213D"/>
          </w:tcPr>
          <w:p>
            <w:r/>
            <w:r>
              <w:rPr>
                <w:rFonts w:ascii="Aptos" w:hAnsi="Aptos"/>
                <w:b/>
                <w:color w:val="FFFFFF"/>
                <w:sz w:val="18"/>
              </w:rPr>
              <w:t>Level</w:t>
            </w:r>
          </w:p>
        </w:tc>
        <w:tc>
          <w:tcPr>
            <w:tcW w:type="dxa" w:w="4320"/>
            <w:vAlign w:val="center"/>
            <w:shd w:fill="14213D"/>
          </w:tcPr>
          <w:p>
            <w:r/>
            <w:r>
              <w:rPr>
                <w:rFonts w:ascii="Aptos" w:hAnsi="Aptos"/>
                <w:b/>
                <w:color w:val="FFFFFF"/>
                <w:sz w:val="18"/>
              </w:rPr>
              <w:t>Return path</w:t>
            </w:r>
          </w:p>
        </w:tc>
        <w:tc>
          <w:tcPr>
            <w:tcW w:type="dxa" w:w="1440"/>
            <w:vAlign w:val="center"/>
            <w:shd w:fill="14213D"/>
          </w:tcPr>
          <w:p>
            <w:r/>
            <w:r>
              <w:rPr>
                <w:rFonts w:ascii="Aptos" w:hAnsi="Aptos"/>
                <w:b/>
                <w:color w:val="FFFFFF"/>
                <w:sz w:val="18"/>
              </w:rPr>
              <w:t>Trust</w:t>
            </w:r>
          </w:p>
        </w:tc>
        <w:tc>
          <w:tcPr>
            <w:tcW w:type="dxa" w:w="2016"/>
            <w:vAlign w:val="center"/>
            <w:shd w:fill="14213D"/>
          </w:tcPr>
          <w:p>
            <w:r/>
            <w:r>
              <w:rPr>
                <w:rFonts w:ascii="Aptos" w:hAnsi="Aptos"/>
                <w:b/>
                <w:color w:val="FFFFFF"/>
                <w:sz w:val="18"/>
              </w:rPr>
              <w:t>Suggested multiplier</w:t>
            </w:r>
          </w:p>
        </w:tc>
      </w:tr>
      <w:tr>
        <w:tc>
          <w:tcPr>
            <w:tcW w:type="dxa" w:w="2160"/>
            <w:vAlign w:val="center"/>
          </w:tcPr>
          <w:p>
            <w:r/>
            <w:r>
              <w:rPr>
                <w:rFonts w:ascii="Aptos" w:hAnsi="Aptos"/>
                <w:b w:val="0"/>
                <w:sz w:val="17"/>
              </w:rPr>
              <w:t>A — Peer Return</w:t>
            </w:r>
          </w:p>
        </w:tc>
        <w:tc>
          <w:tcPr>
            <w:tcW w:type="dxa" w:w="4320"/>
            <w:vAlign w:val="center"/>
          </w:tcPr>
          <w:p>
            <w:r/>
            <w:r>
              <w:rPr>
                <w:rFonts w:ascii="Aptos" w:hAnsi="Aptos"/>
                <w:b w:val="0"/>
                <w:sz w:val="17"/>
              </w:rPr>
              <w:t>Owner and finder meet directly</w:t>
            </w:r>
          </w:p>
        </w:tc>
        <w:tc>
          <w:tcPr>
            <w:tcW w:type="dxa" w:w="1440"/>
            <w:vAlign w:val="center"/>
          </w:tcPr>
          <w:p>
            <w:r/>
            <w:r>
              <w:rPr>
                <w:rFonts w:ascii="Aptos" w:hAnsi="Aptos"/>
                <w:b w:val="0"/>
                <w:sz w:val="17"/>
              </w:rPr>
              <w:t>Lowest</w:t>
            </w:r>
          </w:p>
        </w:tc>
        <w:tc>
          <w:tcPr>
            <w:tcW w:type="dxa" w:w="2016"/>
            <w:vAlign w:val="center"/>
          </w:tcPr>
          <w:p>
            <w:r/>
            <w:r>
              <w:rPr>
                <w:rFonts w:ascii="Aptos" w:hAnsi="Aptos"/>
                <w:b w:val="0"/>
                <w:sz w:val="17"/>
              </w:rPr>
              <w:t>0.5×</w:t>
            </w:r>
          </w:p>
        </w:tc>
      </w:tr>
      <w:tr>
        <w:tc>
          <w:tcPr>
            <w:tcW w:type="dxa" w:w="2160"/>
            <w:vAlign w:val="center"/>
            <w:shd w:fill="F7F9FC"/>
          </w:tcPr>
          <w:p>
            <w:r/>
            <w:r>
              <w:rPr>
                <w:rFonts w:ascii="Aptos" w:hAnsi="Aptos"/>
                <w:b w:val="0"/>
                <w:sz w:val="17"/>
              </w:rPr>
              <w:t>B — Recovery Point</w:t>
            </w:r>
          </w:p>
        </w:tc>
        <w:tc>
          <w:tcPr>
            <w:tcW w:type="dxa" w:w="4320"/>
            <w:vAlign w:val="center"/>
            <w:shd w:fill="F7F9FC"/>
          </w:tcPr>
          <w:p>
            <w:r/>
            <w:r>
              <w:rPr>
                <w:rFonts w:ascii="Aptos" w:hAnsi="Aptos"/>
                <w:b w:val="0"/>
                <w:sz w:val="17"/>
              </w:rPr>
              <w:t>Finder deposits; partner accepts and releases</w:t>
            </w:r>
          </w:p>
        </w:tc>
        <w:tc>
          <w:tcPr>
            <w:tcW w:type="dxa" w:w="1440"/>
            <w:vAlign w:val="center"/>
            <w:shd w:fill="F7F9FC"/>
          </w:tcPr>
          <w:p>
            <w:r/>
            <w:r>
              <w:rPr>
                <w:rFonts w:ascii="Aptos" w:hAnsi="Aptos"/>
                <w:b w:val="0"/>
                <w:sz w:val="17"/>
              </w:rPr>
              <w:t>High</w:t>
            </w:r>
          </w:p>
        </w:tc>
        <w:tc>
          <w:tcPr>
            <w:tcW w:type="dxa" w:w="2016"/>
            <w:vAlign w:val="center"/>
            <w:shd w:fill="F7F9FC"/>
          </w:tcPr>
          <w:p>
            <w:r/>
            <w:r>
              <w:rPr>
                <w:rFonts w:ascii="Aptos" w:hAnsi="Aptos"/>
                <w:b w:val="0"/>
                <w:sz w:val="17"/>
              </w:rPr>
              <w:t>1.0×</w:t>
            </w:r>
          </w:p>
        </w:tc>
      </w:tr>
      <w:tr>
        <w:tc>
          <w:tcPr>
            <w:tcW w:type="dxa" w:w="2160"/>
            <w:vAlign w:val="center"/>
          </w:tcPr>
          <w:p>
            <w:r/>
            <w:r>
              <w:rPr>
                <w:rFonts w:ascii="Aptos" w:hAnsi="Aptos"/>
                <w:b w:val="0"/>
                <w:sz w:val="17"/>
              </w:rPr>
              <w:t>C — Verified Delivery</w:t>
            </w:r>
          </w:p>
        </w:tc>
        <w:tc>
          <w:tcPr>
            <w:tcW w:type="dxa" w:w="4320"/>
            <w:vAlign w:val="center"/>
          </w:tcPr>
          <w:p>
            <w:r/>
            <w:r>
              <w:rPr>
                <w:rFonts w:ascii="Aptos" w:hAnsi="Aptos"/>
                <w:b w:val="0"/>
                <w:sz w:val="17"/>
              </w:rPr>
              <w:t>Tracked partner/courier collection and delivery</w:t>
            </w:r>
          </w:p>
        </w:tc>
        <w:tc>
          <w:tcPr>
            <w:tcW w:type="dxa" w:w="1440"/>
            <w:vAlign w:val="center"/>
          </w:tcPr>
          <w:p>
            <w:r/>
            <w:r>
              <w:rPr>
                <w:rFonts w:ascii="Aptos" w:hAnsi="Aptos"/>
                <w:b w:val="0"/>
                <w:sz w:val="17"/>
              </w:rPr>
              <w:t>High</w:t>
            </w:r>
          </w:p>
        </w:tc>
        <w:tc>
          <w:tcPr>
            <w:tcW w:type="dxa" w:w="2016"/>
            <w:vAlign w:val="center"/>
          </w:tcPr>
          <w:p>
            <w:r/>
            <w:r>
              <w:rPr>
                <w:rFonts w:ascii="Aptos" w:hAnsi="Aptos"/>
                <w:b w:val="0"/>
                <w:sz w:val="17"/>
              </w:rPr>
              <w:t>1.0×</w:t>
            </w:r>
          </w:p>
        </w:tc>
      </w:tr>
      <w:tr>
        <w:tc>
          <w:tcPr>
            <w:tcW w:type="dxa" w:w="2160"/>
            <w:vAlign w:val="center"/>
            <w:shd w:fill="F7F9FC"/>
          </w:tcPr>
          <w:p>
            <w:r/>
            <w:r>
              <w:rPr>
                <w:rFonts w:ascii="Aptos" w:hAnsi="Aptos"/>
                <w:b w:val="0"/>
                <w:sz w:val="17"/>
              </w:rPr>
              <w:t>D — Institutional</w:t>
            </w:r>
          </w:p>
        </w:tc>
        <w:tc>
          <w:tcPr>
            <w:tcW w:type="dxa" w:w="4320"/>
            <w:vAlign w:val="center"/>
            <w:shd w:fill="F7F9FC"/>
          </w:tcPr>
          <w:p>
            <w:r/>
            <w:r>
              <w:rPr>
                <w:rFonts w:ascii="Aptos" w:hAnsi="Aptos"/>
                <w:b w:val="0"/>
                <w:sz w:val="17"/>
              </w:rPr>
              <w:t>Police, university, mall, hospital, transport operator, etc.</w:t>
            </w:r>
          </w:p>
        </w:tc>
        <w:tc>
          <w:tcPr>
            <w:tcW w:type="dxa" w:w="1440"/>
            <w:vAlign w:val="center"/>
            <w:shd w:fill="F7F9FC"/>
          </w:tcPr>
          <w:p>
            <w:r/>
            <w:r>
              <w:rPr>
                <w:rFonts w:ascii="Aptos" w:hAnsi="Aptos"/>
                <w:b w:val="0"/>
                <w:sz w:val="17"/>
              </w:rPr>
              <w:t>Highest</w:t>
            </w:r>
          </w:p>
        </w:tc>
        <w:tc>
          <w:tcPr>
            <w:tcW w:type="dxa" w:w="2016"/>
            <w:vAlign w:val="center"/>
            <w:shd w:fill="F7F9FC"/>
          </w:tcPr>
          <w:p>
            <w:r/>
            <w:r>
              <w:rPr>
                <w:rFonts w:ascii="Aptos" w:hAnsi="Aptos"/>
                <w:b w:val="0"/>
                <w:sz w:val="17"/>
              </w:rPr>
              <w:t>1.0–1.25×</w:t>
            </w:r>
          </w:p>
        </w:tc>
      </w:tr>
    </w:tbl>
    <w:p/>
    <w:p>
      <w:pPr>
        <w:pStyle w:val="Heading1"/>
      </w:pPr>
      <w:r>
        <w:t>6. Anti-Collusion &amp; Fraud Engine</w:t>
      </w:r>
    </w:p>
    <w:p>
      <w:r>
        <w:t>Every recovery should receive a private Recovery Risk Score. The exact scoring weights must not be exposed publicly. The engine should combine deterministic rules with later statistical/ML models, but the MVP can begin with explainable rules.</w:t>
      </w:r>
    </w:p>
    <w:p>
      <w:pPr>
        <w:pStyle w:val="ListBullet"/>
        <w:spacing w:after="40"/>
      </w:pPr>
      <w:r>
        <w:t>Repeated owner ↔ finder pairings or reciprocal recoveries.</w:t>
      </w:r>
    </w:p>
    <w:p>
      <w:pPr>
        <w:pStyle w:val="ListBullet"/>
        <w:spacing w:after="40"/>
      </w:pPr>
      <w:r>
        <w:t>Same device fingerprint, IP/network patterns, phone, payment account or other linked identifiers.</w:t>
      </w:r>
    </w:p>
    <w:p>
      <w:pPr>
        <w:pStyle w:val="ListBullet"/>
        <w:spacing w:after="40"/>
      </w:pPr>
      <w:r>
        <w:t>Accounts created shortly before the alleged loss/recovery.</w:t>
      </w:r>
    </w:p>
    <w:p>
      <w:pPr>
        <w:pStyle w:val="ListBullet"/>
        <w:spacing w:after="40"/>
      </w:pPr>
      <w:r>
        <w:t>Unnaturally short time between loss report and found report.</w:t>
      </w:r>
    </w:p>
    <w:p>
      <w:pPr>
        <w:pStyle w:val="ListBullet"/>
        <w:spacing w:after="40"/>
      </w:pPr>
      <w:r>
        <w:t>Repeated high-value or reward-bearing recoveries.</w:t>
      </w:r>
    </w:p>
    <w:p>
      <w:pPr>
        <w:pStyle w:val="ListBullet"/>
        <w:spacing w:after="40"/>
      </w:pPr>
      <w:r>
        <w:t>Suspicious location/time patterns and implausible travel.</w:t>
      </w:r>
    </w:p>
    <w:p>
      <w:pPr>
        <w:pStyle w:val="ListBullet"/>
        <w:spacing w:after="40"/>
      </w:pPr>
      <w:r>
        <w:t>Duplicate/reused images, descriptions or metadata.</w:t>
      </w:r>
    </w:p>
    <w:p>
      <w:pPr>
        <w:pStyle w:val="ListBullet"/>
        <w:spacing w:after="40"/>
      </w:pPr>
      <w:r>
        <w:t>Reward farming concentrated through one partner or staff account.</w:t>
      </w:r>
    </w:p>
    <w:p>
      <w:pPr>
        <w:pStyle w:val="ListBullet"/>
        <w:spacing w:after="40"/>
      </w:pPr>
      <w:r>
        <w:t>Multiple accounts tied to the same device or payout destination.</w:t>
      </w:r>
    </w:p>
    <w:p>
      <w:pPr>
        <w:pStyle w:val="ListBullet"/>
        <w:spacing w:after="40"/>
      </w:pPr>
      <w:r>
        <w:t>Frequent disputes, reversals, ownership failures or moderation reports.</w:t>
      </w:r>
    </w:p>
    <w:p>
      <w:pPr>
        <w:pStyle w:val="ListBullet"/>
        <w:spacing w:after="40"/>
      </w:pPr>
      <w:r>
        <w:t>Owner and finder historically connected through suspicious transaction graphs.</w:t>
      </w:r>
    </w:p>
    <w:tbl>
      <w:tblPr>
        <w:tblStyle w:val="TableGrid"/>
        <w:tblW w:type="auto" w:w="0"/>
        <w:jc w:val="center"/>
        <w:tblLook w:firstColumn="1" w:firstRow="1" w:lastColumn="0" w:lastRow="0" w:noHBand="0" w:noVBand="1" w:val="04A0"/>
      </w:tblPr>
      <w:tblGrid>
        <w:gridCol w:w="5040"/>
        <w:gridCol w:w="5040"/>
      </w:tblGrid>
      <w:tr>
        <w:tc>
          <w:tcPr>
            <w:tcW w:type="dxa" w:w="2160"/>
            <w:vAlign w:val="center"/>
            <w:shd w:fill="14213D"/>
          </w:tcPr>
          <w:p>
            <w:r/>
            <w:r>
              <w:rPr>
                <w:rFonts w:ascii="Aptos" w:hAnsi="Aptos"/>
                <w:b/>
                <w:color w:val="FFFFFF"/>
                <w:sz w:val="18"/>
              </w:rPr>
              <w:t>Risk score</w:t>
            </w:r>
          </w:p>
        </w:tc>
        <w:tc>
          <w:tcPr>
            <w:tcW w:type="dxa" w:w="7920"/>
            <w:vAlign w:val="center"/>
            <w:shd w:fill="14213D"/>
          </w:tcPr>
          <w:p>
            <w:r/>
            <w:r>
              <w:rPr>
                <w:rFonts w:ascii="Aptos" w:hAnsi="Aptos"/>
                <w:b/>
                <w:color w:val="FFFFFF"/>
                <w:sz w:val="18"/>
              </w:rPr>
              <w:t>Default action</w:t>
            </w:r>
          </w:p>
        </w:tc>
      </w:tr>
      <w:tr>
        <w:tc>
          <w:tcPr>
            <w:tcW w:type="dxa" w:w="2160"/>
            <w:vAlign w:val="center"/>
          </w:tcPr>
          <w:p>
            <w:r/>
            <w:r>
              <w:rPr>
                <w:rFonts w:ascii="Aptos" w:hAnsi="Aptos"/>
                <w:b w:val="0"/>
                <w:sz w:val="17"/>
              </w:rPr>
              <w:t>0–30</w:t>
            </w:r>
          </w:p>
        </w:tc>
        <w:tc>
          <w:tcPr>
            <w:tcW w:type="dxa" w:w="7920"/>
            <w:vAlign w:val="center"/>
          </w:tcPr>
          <w:p>
            <w:r/>
            <w:r>
              <w:rPr>
                <w:rFonts w:ascii="Aptos" w:hAnsi="Aptos"/>
                <w:b w:val="0"/>
                <w:sz w:val="17"/>
              </w:rPr>
              <w:t>Low risk: normal workflow; clear after standard pending period.</w:t>
            </w:r>
          </w:p>
        </w:tc>
      </w:tr>
      <w:tr>
        <w:tc>
          <w:tcPr>
            <w:tcW w:type="dxa" w:w="2160"/>
            <w:vAlign w:val="center"/>
            <w:shd w:fill="F7F9FC"/>
          </w:tcPr>
          <w:p>
            <w:r/>
            <w:r>
              <w:rPr>
                <w:rFonts w:ascii="Aptos" w:hAnsi="Aptos"/>
                <w:b w:val="0"/>
                <w:sz w:val="17"/>
              </w:rPr>
              <w:t>31–60</w:t>
            </w:r>
          </w:p>
        </w:tc>
        <w:tc>
          <w:tcPr>
            <w:tcW w:type="dxa" w:w="7920"/>
            <w:vAlign w:val="center"/>
            <w:shd w:fill="F7F9FC"/>
          </w:tcPr>
          <w:p>
            <w:r/>
            <w:r>
              <w:rPr>
                <w:rFonts w:ascii="Aptos" w:hAnsi="Aptos"/>
                <w:b w:val="0"/>
                <w:sz w:val="17"/>
              </w:rPr>
              <w:t>Medium risk: extend reward delay and apply additional verification.</w:t>
            </w:r>
          </w:p>
        </w:tc>
      </w:tr>
      <w:tr>
        <w:tc>
          <w:tcPr>
            <w:tcW w:type="dxa" w:w="2160"/>
            <w:vAlign w:val="center"/>
          </w:tcPr>
          <w:p>
            <w:r/>
            <w:r>
              <w:rPr>
                <w:rFonts w:ascii="Aptos" w:hAnsi="Aptos"/>
                <w:b w:val="0"/>
                <w:sz w:val="17"/>
              </w:rPr>
              <w:t>61–80</w:t>
            </w:r>
          </w:p>
        </w:tc>
        <w:tc>
          <w:tcPr>
            <w:tcW w:type="dxa" w:w="7920"/>
            <w:vAlign w:val="center"/>
          </w:tcPr>
          <w:p>
            <w:r/>
            <w:r>
              <w:rPr>
                <w:rFonts w:ascii="Aptos" w:hAnsi="Aptos"/>
                <w:b w:val="0"/>
                <w:sz w:val="17"/>
              </w:rPr>
              <w:t>High risk: manual Trust &amp; Safety review before rewards clear.</w:t>
            </w:r>
          </w:p>
        </w:tc>
      </w:tr>
      <w:tr>
        <w:tc>
          <w:tcPr>
            <w:tcW w:type="dxa" w:w="2160"/>
            <w:vAlign w:val="center"/>
            <w:shd w:fill="F7F9FC"/>
          </w:tcPr>
          <w:p>
            <w:r/>
            <w:r>
              <w:rPr>
                <w:rFonts w:ascii="Aptos" w:hAnsi="Aptos"/>
                <w:b w:val="0"/>
                <w:sz w:val="17"/>
              </w:rPr>
              <w:t>81–100</w:t>
            </w:r>
          </w:p>
        </w:tc>
        <w:tc>
          <w:tcPr>
            <w:tcW w:type="dxa" w:w="7920"/>
            <w:vAlign w:val="center"/>
            <w:shd w:fill="F7F9FC"/>
          </w:tcPr>
          <w:p>
            <w:r/>
            <w:r>
              <w:rPr>
                <w:rFonts w:ascii="Aptos" w:hAnsi="Aptos"/>
                <w:b w:val="0"/>
                <w:sz w:val="17"/>
              </w:rPr>
              <w:t>Critical: freeze reward/points and transaction; investigate linked accounts.</w:t>
            </w:r>
          </w:p>
        </w:tc>
      </w:tr>
    </w:tbl>
    <w:p/>
    <w:p>
      <w:pPr>
        <w:pStyle w:val="Heading1"/>
      </w:pPr>
      <w:r>
        <w:t>7. Anti-Gaming Controls</w:t>
      </w:r>
    </w:p>
    <w:p>
      <w:pPr>
        <w:pStyle w:val="ListBullet"/>
        <w:spacing w:after="40"/>
      </w:pPr>
      <w:r>
        <w:t>Never award substantial value solely because owner and finder both clicked 'returned'.</w:t>
      </w:r>
    </w:p>
    <w:p>
      <w:pPr>
        <w:pStyle w:val="ListBullet"/>
        <w:spacing w:after="40"/>
      </w:pPr>
      <w:r>
        <w:t>Apply daily, weekly and monthly earning caps, configurable by user type.</w:t>
      </w:r>
    </w:p>
    <w:p>
      <w:pPr>
        <w:pStyle w:val="ListBullet"/>
        <w:spacing w:after="40"/>
      </w:pPr>
      <w:r>
        <w:t>Reduce or eliminate points for repeated recoveries between the same pair.</w:t>
      </w:r>
    </w:p>
    <w:p>
      <w:pPr>
        <w:pStyle w:val="ListBullet"/>
        <w:spacing w:after="40"/>
      </w:pPr>
      <w:r>
        <w:t>Use diminishing returns for unusually frequent consumer recoveries.</w:t>
      </w:r>
    </w:p>
    <w:p>
      <w:pPr>
        <w:pStyle w:val="ListBullet"/>
        <w:spacing w:after="40"/>
      </w:pPr>
      <w:r>
        <w:t>Require stronger evidence for high-value items and large cash rewards.</w:t>
      </w:r>
    </w:p>
    <w:p>
      <w:pPr>
        <w:pStyle w:val="ListBullet"/>
        <w:spacing w:after="40"/>
      </w:pPr>
      <w:r>
        <w:t>Delay benefits for new accounts until trust is established.</w:t>
      </w:r>
    </w:p>
    <w:p>
      <w:pPr>
        <w:pStyle w:val="ListBullet"/>
        <w:spacing w:after="40"/>
      </w:pPr>
      <w:r>
        <w:t>Keep BakPoints separate from owner-funded cash rewards.</w:t>
      </w:r>
    </w:p>
    <w:p>
      <w:pPr>
        <w:pStyle w:val="ListBullet"/>
        <w:spacing w:after="40"/>
      </w:pPr>
      <w:r>
        <w:t>Do not make points proportional to the item's monetary value.</w:t>
      </w:r>
    </w:p>
    <w:p>
      <w:pPr>
        <w:pStyle w:val="ListBullet"/>
        <w:spacing w:after="40"/>
      </w:pPr>
      <w:r>
        <w:t>Allow legitimate high-volume finders (security staff, transport staff, institutions) to use verified roles with different rules.</w:t>
      </w:r>
    </w:p>
    <w:p>
      <w:pPr>
        <w:pStyle w:val="ListBullet"/>
        <w:spacing w:after="40"/>
      </w:pPr>
      <w:r>
        <w:t>Permit reward reversals and account freezes when fraud is confirmed.</w:t>
      </w:r>
    </w:p>
    <w:p>
      <w:pPr>
        <w:pStyle w:val="Heading1"/>
      </w:pPr>
      <w:r>
        <w:t>8. Ownership Verification</w:t>
      </w:r>
    </w:p>
    <w:p>
      <w:r>
        <w:t>Public found-item listings should intentionally withhold decisive identifying details. The legitimate claimant proves knowledge or possession of information that was not disclosed publicly.</w:t>
      </w:r>
    </w:p>
    <w:p>
      <w:pPr>
        <w:pStyle w:val="ListBullet"/>
        <w:spacing w:after="40"/>
      </w:pPr>
      <w:r>
        <w:t>Serial number / last digits of IMEI where appropriate.</w:t>
      </w:r>
    </w:p>
    <w:p>
      <w:pPr>
        <w:pStyle w:val="ListBullet"/>
        <w:spacing w:after="40"/>
      </w:pPr>
      <w:r>
        <w:t>Unique scratches, engravings, stickers, contents or accessories.</w:t>
      </w:r>
    </w:p>
    <w:p>
      <w:pPr>
        <w:pStyle w:val="ListBullet"/>
        <w:spacing w:after="40"/>
      </w:pPr>
      <w:r>
        <w:t>Lock-screen/wallpaper description without requiring account passwords.</w:t>
      </w:r>
    </w:p>
    <w:p>
      <w:pPr>
        <w:pStyle w:val="ListBullet"/>
        <w:spacing w:after="40"/>
      </w:pPr>
      <w:r>
        <w:t>Receipt, purchase confirmation or historical photo.</w:t>
      </w:r>
    </w:p>
    <w:p>
      <w:pPr>
        <w:pStyle w:val="ListBullet"/>
        <w:spacing w:after="40"/>
      </w:pPr>
      <w:r>
        <w:t>Previously registered BakTag or asset record.</w:t>
      </w:r>
    </w:p>
    <w:p>
      <w:pPr>
        <w:pStyle w:val="ListBullet"/>
        <w:spacing w:after="40"/>
      </w:pPr>
      <w:r>
        <w:t>Government ID verification for sensitive/high-value cases, where lawful and appropriate.</w:t>
      </w:r>
    </w:p>
    <w:p>
      <w:pPr>
        <w:pStyle w:val="ListBullet"/>
        <w:spacing w:after="40"/>
      </w:pPr>
      <w:r>
        <w:t>Partner staff review for institutional custody.</w:t>
      </w:r>
    </w:p>
    <w:p>
      <w:r>
        <w:t>Comparable platforms use ownership questions, supporting evidence, controlled disclosure and organization approvals; Bak2Me should treat these as evidence signals rather than an absolute guarantee of legal ownership.</w:t>
      </w:r>
    </w:p>
    <w:p>
      <w:pPr>
        <w:pStyle w:val="Heading1"/>
      </w:pPr>
      <w:r>
        <w:t>9. Recovery Chain / Chain of Custody</w:t>
      </w:r>
    </w:p>
    <w:p>
      <w:r>
        <w:t>Every found item receives a case ID and immutable-style event history. Records should be append-oriented: corrections create new events rather than silently rewriting critical custody history.</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4213D"/>
          </w:tcPr>
          <w:p>
            <w:r/>
            <w:r>
              <w:rPr>
                <w:rFonts w:ascii="Aptos" w:hAnsi="Aptos"/>
                <w:b/>
                <w:color w:val="FFFFFF"/>
                <w:sz w:val="18"/>
              </w:rPr>
              <w:t>Example event</w:t>
            </w:r>
          </w:p>
        </w:tc>
        <w:tc>
          <w:tcPr>
            <w:tcW w:type="dxa" w:w="7056"/>
            <w:vAlign w:val="center"/>
            <w:shd w:fill="14213D"/>
          </w:tcPr>
          <w:p>
            <w:r/>
            <w:r>
              <w:rPr>
                <w:rFonts w:ascii="Aptos" w:hAnsi="Aptos"/>
                <w:b/>
                <w:color w:val="FFFFFF"/>
                <w:sz w:val="18"/>
              </w:rPr>
              <w:t>Recorded evidence</w:t>
            </w:r>
          </w:p>
        </w:tc>
      </w:tr>
      <w:tr>
        <w:tc>
          <w:tcPr>
            <w:tcW w:type="dxa" w:w="3024"/>
            <w:vAlign w:val="center"/>
          </w:tcPr>
          <w:p>
            <w:r/>
            <w:r>
              <w:rPr>
                <w:rFonts w:ascii="Aptos" w:hAnsi="Aptos"/>
                <w:b w:val="0"/>
                <w:sz w:val="17"/>
              </w:rPr>
              <w:t>FOUND_REPORTED</w:t>
            </w:r>
          </w:p>
        </w:tc>
        <w:tc>
          <w:tcPr>
            <w:tcW w:type="dxa" w:w="7056"/>
            <w:vAlign w:val="center"/>
          </w:tcPr>
          <w:p>
            <w:r/>
            <w:r>
              <w:rPr>
                <w:rFonts w:ascii="Aptos" w:hAnsi="Aptos"/>
                <w:b w:val="0"/>
                <w:sz w:val="17"/>
              </w:rPr>
              <w:t>Finder, timestamp, coarse location, photos, device/session.</w:t>
            </w:r>
          </w:p>
        </w:tc>
      </w:tr>
      <w:tr>
        <w:tc>
          <w:tcPr>
            <w:tcW w:type="dxa" w:w="3024"/>
            <w:vAlign w:val="center"/>
            <w:shd w:fill="F7F9FC"/>
          </w:tcPr>
          <w:p>
            <w:r/>
            <w:r>
              <w:rPr>
                <w:rFonts w:ascii="Aptos" w:hAnsi="Aptos"/>
                <w:b w:val="0"/>
                <w:sz w:val="17"/>
              </w:rPr>
              <w:t>CUSTODY_ACCEPTED</w:t>
            </w:r>
          </w:p>
        </w:tc>
        <w:tc>
          <w:tcPr>
            <w:tcW w:type="dxa" w:w="7056"/>
            <w:vAlign w:val="center"/>
            <w:shd w:fill="F7F9FC"/>
          </w:tcPr>
          <w:p>
            <w:r/>
            <w:r>
              <w:rPr>
                <w:rFonts w:ascii="Aptos" w:hAnsi="Aptos"/>
                <w:b w:val="0"/>
                <w:sz w:val="17"/>
              </w:rPr>
              <w:t>Recovery Point, staff member, timestamp, item condition, sealed bag/QR.</w:t>
            </w:r>
          </w:p>
        </w:tc>
      </w:tr>
      <w:tr>
        <w:tc>
          <w:tcPr>
            <w:tcW w:type="dxa" w:w="3024"/>
            <w:vAlign w:val="center"/>
          </w:tcPr>
          <w:p>
            <w:r/>
            <w:r>
              <w:rPr>
                <w:rFonts w:ascii="Aptos" w:hAnsi="Aptos"/>
                <w:b w:val="0"/>
                <w:sz w:val="17"/>
              </w:rPr>
              <w:t>MATCH_PROPOSED</w:t>
            </w:r>
          </w:p>
        </w:tc>
        <w:tc>
          <w:tcPr>
            <w:tcW w:type="dxa" w:w="7056"/>
            <w:vAlign w:val="center"/>
          </w:tcPr>
          <w:p>
            <w:r/>
            <w:r>
              <w:rPr>
                <w:rFonts w:ascii="Aptos" w:hAnsi="Aptos"/>
                <w:b w:val="0"/>
                <w:sz w:val="17"/>
              </w:rPr>
              <w:t>Matching evidence and confidence.</w:t>
            </w:r>
          </w:p>
        </w:tc>
      </w:tr>
      <w:tr>
        <w:tc>
          <w:tcPr>
            <w:tcW w:type="dxa" w:w="3024"/>
            <w:vAlign w:val="center"/>
            <w:shd w:fill="F7F9FC"/>
          </w:tcPr>
          <w:p>
            <w:r/>
            <w:r>
              <w:rPr>
                <w:rFonts w:ascii="Aptos" w:hAnsi="Aptos"/>
                <w:b w:val="0"/>
                <w:sz w:val="17"/>
              </w:rPr>
              <w:t>CLAIM_SUBMITTED</w:t>
            </w:r>
          </w:p>
        </w:tc>
        <w:tc>
          <w:tcPr>
            <w:tcW w:type="dxa" w:w="7056"/>
            <w:vAlign w:val="center"/>
            <w:shd w:fill="F7F9FC"/>
          </w:tcPr>
          <w:p>
            <w:r/>
            <w:r>
              <w:rPr>
                <w:rFonts w:ascii="Aptos" w:hAnsi="Aptos"/>
                <w:b w:val="0"/>
                <w:sz w:val="17"/>
              </w:rPr>
              <w:t>Claimant and private verification responses.</w:t>
            </w:r>
          </w:p>
        </w:tc>
      </w:tr>
      <w:tr>
        <w:tc>
          <w:tcPr>
            <w:tcW w:type="dxa" w:w="3024"/>
            <w:vAlign w:val="center"/>
          </w:tcPr>
          <w:p>
            <w:r/>
            <w:r>
              <w:rPr>
                <w:rFonts w:ascii="Aptos" w:hAnsi="Aptos"/>
                <w:b w:val="0"/>
                <w:sz w:val="17"/>
              </w:rPr>
              <w:t>OWNERSHIP_VERIFIED</w:t>
            </w:r>
          </w:p>
        </w:tc>
        <w:tc>
          <w:tcPr>
            <w:tcW w:type="dxa" w:w="7056"/>
            <w:vAlign w:val="center"/>
          </w:tcPr>
          <w:p>
            <w:r/>
            <w:r>
              <w:rPr>
                <w:rFonts w:ascii="Aptos" w:hAnsi="Aptos"/>
                <w:b w:val="0"/>
                <w:sz w:val="17"/>
              </w:rPr>
              <w:t>Verification method, reviewer/system decision, evidence references.</w:t>
            </w:r>
          </w:p>
        </w:tc>
      </w:tr>
      <w:tr>
        <w:tc>
          <w:tcPr>
            <w:tcW w:type="dxa" w:w="3024"/>
            <w:vAlign w:val="center"/>
            <w:shd w:fill="F7F9FC"/>
          </w:tcPr>
          <w:p>
            <w:r/>
            <w:r>
              <w:rPr>
                <w:rFonts w:ascii="Aptos" w:hAnsi="Aptos"/>
                <w:b w:val="0"/>
                <w:sz w:val="17"/>
              </w:rPr>
              <w:t>ITEM_RELEASED</w:t>
            </w:r>
          </w:p>
        </w:tc>
        <w:tc>
          <w:tcPr>
            <w:tcW w:type="dxa" w:w="7056"/>
            <w:vAlign w:val="center"/>
            <w:shd w:fill="F7F9FC"/>
          </w:tcPr>
          <w:p>
            <w:r/>
            <w:r>
              <w:rPr>
                <w:rFonts w:ascii="Aptos" w:hAnsi="Aptos"/>
                <w:b w:val="0"/>
                <w:sz w:val="17"/>
              </w:rPr>
              <w:t>Staff/finder, recipient, timestamp, acknowledgement/OTP/QR.</w:t>
            </w:r>
          </w:p>
        </w:tc>
      </w:tr>
      <w:tr>
        <w:tc>
          <w:tcPr>
            <w:tcW w:type="dxa" w:w="3024"/>
            <w:vAlign w:val="center"/>
          </w:tcPr>
          <w:p>
            <w:r/>
            <w:r>
              <w:rPr>
                <w:rFonts w:ascii="Aptos" w:hAnsi="Aptos"/>
                <w:b w:val="0"/>
                <w:sz w:val="17"/>
              </w:rPr>
              <w:t>RETURN_CONFIRMED</w:t>
            </w:r>
          </w:p>
        </w:tc>
        <w:tc>
          <w:tcPr>
            <w:tcW w:type="dxa" w:w="7056"/>
            <w:vAlign w:val="center"/>
          </w:tcPr>
          <w:p>
            <w:r/>
            <w:r>
              <w:rPr>
                <w:rFonts w:ascii="Aptos" w:hAnsi="Aptos"/>
                <w:b w:val="0"/>
                <w:sz w:val="17"/>
              </w:rPr>
              <w:t>Owner confirmation and dispute window start.</w:t>
            </w:r>
          </w:p>
        </w:tc>
      </w:tr>
      <w:tr>
        <w:tc>
          <w:tcPr>
            <w:tcW w:type="dxa" w:w="3024"/>
            <w:vAlign w:val="center"/>
            <w:shd w:fill="F7F9FC"/>
          </w:tcPr>
          <w:p>
            <w:r/>
            <w:r>
              <w:rPr>
                <w:rFonts w:ascii="Aptos" w:hAnsi="Aptos"/>
                <w:b w:val="0"/>
                <w:sz w:val="17"/>
              </w:rPr>
              <w:t>REWARD_CLEARED</w:t>
            </w:r>
          </w:p>
        </w:tc>
        <w:tc>
          <w:tcPr>
            <w:tcW w:type="dxa" w:w="7056"/>
            <w:vAlign w:val="center"/>
            <w:shd w:fill="F7F9FC"/>
          </w:tcPr>
          <w:p>
            <w:r/>
            <w:r>
              <w:rPr>
                <w:rFonts w:ascii="Aptos" w:hAnsi="Aptos"/>
                <w:b w:val="0"/>
                <w:sz w:val="17"/>
              </w:rPr>
              <w:t>Points/cash reward ledger entries after fraud checks.</w:t>
            </w:r>
          </w:p>
        </w:tc>
      </w:tr>
    </w:tbl>
    <w:p/>
    <w:p>
      <w:pPr>
        <w:pStyle w:val="Heading1"/>
      </w:pPr>
      <w:r>
        <w:t>10. Bak2Me Recovery Points</w:t>
      </w:r>
    </w:p>
    <w:p>
      <w:r>
        <w:t>Physical partners create independent evidence and a safer handover path. A Recovery Point should have a partner app/dashboard, staff roles, QR scanning, custody receipts, storage locations, condition capture, claimant verification and release controls.</w:t>
      </w:r>
    </w:p>
    <w:p>
      <w:pPr>
        <w:pStyle w:val="ListBullet"/>
        <w:spacing w:after="40"/>
      </w:pPr>
      <w:r>
        <w:t>QR labels and tamper-evident bags for valuable items.</w:t>
      </w:r>
    </w:p>
    <w:p>
      <w:pPr>
        <w:pStyle w:val="ListBullet"/>
        <w:spacing w:after="40"/>
      </w:pPr>
      <w:r>
        <w:t>Photograph and record item condition and declared contents at intake.</w:t>
      </w:r>
    </w:p>
    <w:p>
      <w:pPr>
        <w:pStyle w:val="ListBullet"/>
        <w:spacing w:after="40"/>
      </w:pPr>
      <w:r>
        <w:t>Generate a digital custody receipt for the finder.</w:t>
      </w:r>
    </w:p>
    <w:p>
      <w:pPr>
        <w:pStyle w:val="ListBullet"/>
        <w:spacing w:after="40"/>
      </w:pPr>
      <w:r>
        <w:t>Store exact shelf/bin/locker location internally.</w:t>
      </w:r>
    </w:p>
    <w:p>
      <w:pPr>
        <w:pStyle w:val="ListBullet"/>
        <w:spacing w:after="40"/>
      </w:pPr>
      <w:r>
        <w:t>Require authorized staff action for release.</w:t>
      </w:r>
    </w:p>
    <w:p>
      <w:pPr>
        <w:pStyle w:val="ListBullet"/>
        <w:spacing w:after="40"/>
      </w:pPr>
      <w:r>
        <w:t>Use OTP/QR plus claimant verification at handover.</w:t>
      </w:r>
    </w:p>
    <w:p>
      <w:pPr>
        <w:pStyle w:val="ListBullet"/>
        <w:spacing w:after="40"/>
      </w:pPr>
      <w:r>
        <w:t>Maintain full staff audit logs.</w:t>
      </w:r>
    </w:p>
    <w:p>
      <w:pPr>
        <w:pStyle w:val="Heading1"/>
      </w:pPr>
      <w:r>
        <w:t>11. Partner Types &amp; Benefits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4213D"/>
          </w:tcPr>
          <w:p>
            <w:r/>
            <w:r>
              <w:rPr>
                <w:rFonts w:ascii="Aptos" w:hAnsi="Aptos"/>
                <w:b/>
                <w:color w:val="FFFFFF"/>
                <w:sz w:val="18"/>
              </w:rPr>
              <w:t>Partner tier</w:t>
            </w:r>
          </w:p>
        </w:tc>
        <w:tc>
          <w:tcPr>
            <w:tcW w:type="dxa" w:w="3888"/>
            <w:vAlign w:val="center"/>
            <w:shd w:fill="14213D"/>
          </w:tcPr>
          <w:p>
            <w:r/>
            <w:r>
              <w:rPr>
                <w:rFonts w:ascii="Aptos" w:hAnsi="Aptos"/>
                <w:b/>
                <w:color w:val="FFFFFF"/>
                <w:sz w:val="18"/>
              </w:rPr>
              <w:t>Primary purpose</w:t>
            </w:r>
          </w:p>
        </w:tc>
        <w:tc>
          <w:tcPr>
            <w:tcW w:type="dxa" w:w="4320"/>
            <w:vAlign w:val="center"/>
            <w:shd w:fill="14213D"/>
          </w:tcPr>
          <w:p>
            <w:r/>
            <w:r>
              <w:rPr>
                <w:rFonts w:ascii="Aptos" w:hAnsi="Aptos"/>
                <w:b/>
                <w:color w:val="FFFFFF"/>
                <w:sz w:val="18"/>
              </w:rPr>
              <w:t>Partner benefit</w:t>
            </w:r>
          </w:p>
        </w:tc>
      </w:tr>
      <w:tr>
        <w:tc>
          <w:tcPr>
            <w:tcW w:type="dxa" w:w="2160"/>
            <w:vAlign w:val="center"/>
          </w:tcPr>
          <w:p>
            <w:r/>
            <w:r>
              <w:rPr>
                <w:rFonts w:ascii="Aptos" w:hAnsi="Aptos"/>
                <w:b w:val="0"/>
                <w:sz w:val="17"/>
              </w:rPr>
              <w:t>Community Partner</w:t>
            </w:r>
          </w:p>
        </w:tc>
        <w:tc>
          <w:tcPr>
            <w:tcW w:type="dxa" w:w="3888"/>
            <w:vAlign w:val="center"/>
          </w:tcPr>
          <w:p>
            <w:r/>
            <w:r>
              <w:rPr>
                <w:rFonts w:ascii="Aptos" w:hAnsi="Aptos"/>
                <w:b w:val="0"/>
                <w:sz w:val="17"/>
              </w:rPr>
              <w:t>Small business/community access point</w:t>
            </w:r>
          </w:p>
        </w:tc>
        <w:tc>
          <w:tcPr>
            <w:tcW w:type="dxa" w:w="4320"/>
            <w:vAlign w:val="center"/>
          </w:tcPr>
          <w:p>
            <w:r/>
            <w:r>
              <w:rPr>
                <w:rFonts w:ascii="Aptos" w:hAnsi="Aptos"/>
                <w:b w:val="0"/>
                <w:sz w:val="17"/>
              </w:rPr>
              <w:t>Visibility, goodwill and foot traffic.</w:t>
            </w:r>
          </w:p>
        </w:tc>
      </w:tr>
      <w:tr>
        <w:tc>
          <w:tcPr>
            <w:tcW w:type="dxa" w:w="2160"/>
            <w:vAlign w:val="center"/>
            <w:shd w:fill="F7F9FC"/>
          </w:tcPr>
          <w:p>
            <w:r/>
            <w:r>
              <w:rPr>
                <w:rFonts w:ascii="Aptos" w:hAnsi="Aptos"/>
                <w:b w:val="0"/>
                <w:sz w:val="17"/>
              </w:rPr>
              <w:t>Recovery Point</w:t>
            </w:r>
          </w:p>
        </w:tc>
        <w:tc>
          <w:tcPr>
            <w:tcW w:type="dxa" w:w="3888"/>
            <w:vAlign w:val="center"/>
            <w:shd w:fill="F7F9FC"/>
          </w:tcPr>
          <w:p>
            <w:r/>
            <w:r>
              <w:rPr>
                <w:rFonts w:ascii="Aptos" w:hAnsi="Aptos"/>
                <w:b w:val="0"/>
                <w:sz w:val="17"/>
              </w:rPr>
              <w:t>Accepts and stores items</w:t>
            </w:r>
          </w:p>
        </w:tc>
        <w:tc>
          <w:tcPr>
            <w:tcW w:type="dxa" w:w="4320"/>
            <w:vAlign w:val="center"/>
            <w:shd w:fill="F7F9FC"/>
          </w:tcPr>
          <w:p>
            <w:r/>
            <w:r>
              <w:rPr>
                <w:rFonts w:ascii="Aptos" w:hAnsi="Aptos"/>
                <w:b w:val="0"/>
                <w:sz w:val="17"/>
              </w:rPr>
              <w:t>Directory placement, traffic, operational tooling.</w:t>
            </w:r>
          </w:p>
        </w:tc>
      </w:tr>
      <w:tr>
        <w:tc>
          <w:tcPr>
            <w:tcW w:type="dxa" w:w="2160"/>
            <w:vAlign w:val="center"/>
          </w:tcPr>
          <w:p>
            <w:r/>
            <w:r>
              <w:rPr>
                <w:rFonts w:ascii="Aptos" w:hAnsi="Aptos"/>
                <w:b w:val="0"/>
                <w:sz w:val="17"/>
              </w:rPr>
              <w:t>Verified Recovery Point</w:t>
            </w:r>
          </w:p>
        </w:tc>
        <w:tc>
          <w:tcPr>
            <w:tcW w:type="dxa" w:w="3888"/>
            <w:vAlign w:val="center"/>
          </w:tcPr>
          <w:p>
            <w:r/>
            <w:r>
              <w:rPr>
                <w:rFonts w:ascii="Aptos" w:hAnsi="Aptos"/>
                <w:b w:val="0"/>
                <w:sz w:val="17"/>
              </w:rPr>
              <w:t>Stronger staff/custody verification</w:t>
            </w:r>
          </w:p>
        </w:tc>
        <w:tc>
          <w:tcPr>
            <w:tcW w:type="dxa" w:w="4320"/>
            <w:vAlign w:val="center"/>
          </w:tcPr>
          <w:p>
            <w:r/>
            <w:r>
              <w:rPr>
                <w:rFonts w:ascii="Aptos" w:hAnsi="Aptos"/>
                <w:b w:val="0"/>
                <w:sz w:val="17"/>
              </w:rPr>
              <w:t>Trust badge, enhanced visibility, analytics.</w:t>
            </w:r>
          </w:p>
        </w:tc>
      </w:tr>
      <w:tr>
        <w:tc>
          <w:tcPr>
            <w:tcW w:type="dxa" w:w="2160"/>
            <w:vAlign w:val="center"/>
            <w:shd w:fill="F7F9FC"/>
          </w:tcPr>
          <w:p>
            <w:r/>
            <w:r>
              <w:rPr>
                <w:rFonts w:ascii="Aptos" w:hAnsi="Aptos"/>
                <w:b w:val="0"/>
                <w:sz w:val="17"/>
              </w:rPr>
              <w:t>Institutional Partner</w:t>
            </w:r>
          </w:p>
        </w:tc>
        <w:tc>
          <w:tcPr>
            <w:tcW w:type="dxa" w:w="3888"/>
            <w:vAlign w:val="center"/>
            <w:shd w:fill="F7F9FC"/>
          </w:tcPr>
          <w:p>
            <w:r/>
            <w:r>
              <w:rPr>
                <w:rFonts w:ascii="Aptos" w:hAnsi="Aptos"/>
                <w:b w:val="0"/>
                <w:sz w:val="17"/>
              </w:rPr>
              <w:t>Universities, malls, hospitals, hotels</w:t>
            </w:r>
          </w:p>
        </w:tc>
        <w:tc>
          <w:tcPr>
            <w:tcW w:type="dxa" w:w="4320"/>
            <w:vAlign w:val="center"/>
            <w:shd w:fill="F7F9FC"/>
          </w:tcPr>
          <w:p>
            <w:r/>
            <w:r>
              <w:rPr>
                <w:rFonts w:ascii="Aptos" w:hAnsi="Aptos"/>
                <w:b w:val="0"/>
                <w:sz w:val="17"/>
              </w:rPr>
              <w:t>Lost-property SaaS, reports, staff workflow.</w:t>
            </w:r>
          </w:p>
        </w:tc>
      </w:tr>
      <w:tr>
        <w:tc>
          <w:tcPr>
            <w:tcW w:type="dxa" w:w="2160"/>
            <w:vAlign w:val="center"/>
          </w:tcPr>
          <w:p>
            <w:r/>
            <w:r>
              <w:rPr>
                <w:rFonts w:ascii="Aptos" w:hAnsi="Aptos"/>
                <w:b w:val="0"/>
                <w:sz w:val="17"/>
              </w:rPr>
              <w:t>Transport Partner</w:t>
            </w:r>
          </w:p>
        </w:tc>
        <w:tc>
          <w:tcPr>
            <w:tcW w:type="dxa" w:w="3888"/>
            <w:vAlign w:val="center"/>
          </w:tcPr>
          <w:p>
            <w:r/>
            <w:r>
              <w:rPr>
                <w:rFonts w:ascii="Aptos" w:hAnsi="Aptos"/>
                <w:b w:val="0"/>
                <w:sz w:val="17"/>
              </w:rPr>
              <w:t>Bus, taxi, ride-hailing ecosystem</w:t>
            </w:r>
          </w:p>
        </w:tc>
        <w:tc>
          <w:tcPr>
            <w:tcW w:type="dxa" w:w="4320"/>
            <w:vAlign w:val="center"/>
          </w:tcPr>
          <w:p>
            <w:r/>
            <w:r>
              <w:rPr>
                <w:rFonts w:ascii="Aptos" w:hAnsi="Aptos"/>
                <w:b w:val="0"/>
                <w:sz w:val="17"/>
              </w:rPr>
              <w:t>Centralized passenger-item recovery and support reduction.</w:t>
            </w:r>
          </w:p>
        </w:tc>
      </w:tr>
      <w:tr>
        <w:tc>
          <w:tcPr>
            <w:tcW w:type="dxa" w:w="2160"/>
            <w:vAlign w:val="center"/>
            <w:shd w:fill="F7F9FC"/>
          </w:tcPr>
          <w:p>
            <w:r/>
            <w:r>
              <w:rPr>
                <w:rFonts w:ascii="Aptos" w:hAnsi="Aptos"/>
                <w:b w:val="0"/>
                <w:sz w:val="17"/>
              </w:rPr>
              <w:t>Logistics Partner</w:t>
            </w:r>
          </w:p>
        </w:tc>
        <w:tc>
          <w:tcPr>
            <w:tcW w:type="dxa" w:w="3888"/>
            <w:vAlign w:val="center"/>
            <w:shd w:fill="F7F9FC"/>
          </w:tcPr>
          <w:p>
            <w:r/>
            <w:r>
              <w:rPr>
                <w:rFonts w:ascii="Aptos" w:hAnsi="Aptos"/>
                <w:b w:val="0"/>
                <w:sz w:val="17"/>
              </w:rPr>
              <w:t>Secure return delivery</w:t>
            </w:r>
          </w:p>
        </w:tc>
        <w:tc>
          <w:tcPr>
            <w:tcW w:type="dxa" w:w="4320"/>
            <w:vAlign w:val="center"/>
            <w:shd w:fill="F7F9FC"/>
          </w:tcPr>
          <w:p>
            <w:r/>
            <w:r>
              <w:rPr>
                <w:rFonts w:ascii="Aptos" w:hAnsi="Aptos"/>
                <w:b w:val="0"/>
                <w:sz w:val="17"/>
              </w:rPr>
              <w:t>Delivery revenue and customer acquisition.</w:t>
            </w:r>
          </w:p>
        </w:tc>
      </w:tr>
      <w:tr>
        <w:tc>
          <w:tcPr>
            <w:tcW w:type="dxa" w:w="2160"/>
            <w:vAlign w:val="center"/>
          </w:tcPr>
          <w:p>
            <w:r/>
            <w:r>
              <w:rPr>
                <w:rFonts w:ascii="Aptos" w:hAnsi="Aptos"/>
                <w:b w:val="0"/>
                <w:sz w:val="17"/>
              </w:rPr>
              <w:t>Reward Partner</w:t>
            </w:r>
          </w:p>
        </w:tc>
        <w:tc>
          <w:tcPr>
            <w:tcW w:type="dxa" w:w="3888"/>
            <w:vAlign w:val="center"/>
          </w:tcPr>
          <w:p>
            <w:r/>
            <w:r>
              <w:rPr>
                <w:rFonts w:ascii="Aptos" w:hAnsi="Aptos"/>
                <w:b w:val="0"/>
                <w:sz w:val="17"/>
              </w:rPr>
              <w:t>Provides perks/vouchers</w:t>
            </w:r>
          </w:p>
        </w:tc>
        <w:tc>
          <w:tcPr>
            <w:tcW w:type="dxa" w:w="4320"/>
            <w:vAlign w:val="center"/>
          </w:tcPr>
          <w:p>
            <w:r/>
            <w:r>
              <w:rPr>
                <w:rFonts w:ascii="Aptos" w:hAnsi="Aptos"/>
                <w:b w:val="0"/>
                <w:sz w:val="17"/>
              </w:rPr>
              <w:t>Marketing, customer acquisition, redemption analytics.</w:t>
            </w:r>
          </w:p>
        </w:tc>
      </w:tr>
      <w:tr>
        <w:tc>
          <w:tcPr>
            <w:tcW w:type="dxa" w:w="2160"/>
            <w:vAlign w:val="center"/>
            <w:shd w:fill="F7F9FC"/>
          </w:tcPr>
          <w:p>
            <w:r/>
            <w:r>
              <w:rPr>
                <w:rFonts w:ascii="Aptos" w:hAnsi="Aptos"/>
                <w:b w:val="0"/>
                <w:sz w:val="17"/>
              </w:rPr>
              <w:t>Sponsor Partner</w:t>
            </w:r>
          </w:p>
        </w:tc>
        <w:tc>
          <w:tcPr>
            <w:tcW w:type="dxa" w:w="3888"/>
            <w:vAlign w:val="center"/>
            <w:shd w:fill="F7F9FC"/>
          </w:tcPr>
          <w:p>
            <w:r/>
            <w:r>
              <w:rPr>
                <w:rFonts w:ascii="Aptos" w:hAnsi="Aptos"/>
                <w:b w:val="0"/>
                <w:sz w:val="17"/>
              </w:rPr>
              <w:t>Funds reward campaigns</w:t>
            </w:r>
          </w:p>
        </w:tc>
        <w:tc>
          <w:tcPr>
            <w:tcW w:type="dxa" w:w="4320"/>
            <w:vAlign w:val="center"/>
            <w:shd w:fill="F7F9FC"/>
          </w:tcPr>
          <w:p>
            <w:r/>
            <w:r>
              <w:rPr>
                <w:rFonts w:ascii="Aptos" w:hAnsi="Aptos"/>
                <w:b w:val="0"/>
                <w:sz w:val="17"/>
              </w:rPr>
              <w:t>CSR metrics, brand exposure and campaign reporting.</w:t>
            </w:r>
          </w:p>
        </w:tc>
      </w:tr>
      <w:tr>
        <w:tc>
          <w:tcPr>
            <w:tcW w:type="dxa" w:w="2160"/>
            <w:vAlign w:val="center"/>
          </w:tcPr>
          <w:p>
            <w:r/>
            <w:r>
              <w:rPr>
                <w:rFonts w:ascii="Aptos" w:hAnsi="Aptos"/>
                <w:b w:val="0"/>
                <w:sz w:val="17"/>
              </w:rPr>
              <w:t>Government/Public Partner</w:t>
            </w:r>
          </w:p>
        </w:tc>
        <w:tc>
          <w:tcPr>
            <w:tcW w:type="dxa" w:w="3888"/>
            <w:vAlign w:val="center"/>
          </w:tcPr>
          <w:p>
            <w:r/>
            <w:r>
              <w:rPr>
                <w:rFonts w:ascii="Aptos" w:hAnsi="Aptos"/>
                <w:b w:val="0"/>
                <w:sz w:val="17"/>
              </w:rPr>
              <w:t>IDs/documents/public safety</w:t>
            </w:r>
          </w:p>
        </w:tc>
        <w:tc>
          <w:tcPr>
            <w:tcW w:type="dxa" w:w="4320"/>
            <w:vAlign w:val="center"/>
          </w:tcPr>
          <w:p>
            <w:r/>
            <w:r>
              <w:rPr>
                <w:rFonts w:ascii="Aptos" w:hAnsi="Aptos"/>
                <w:b w:val="0"/>
                <w:sz w:val="17"/>
              </w:rPr>
              <w:t>Structured recovery workflow and public-service reporting.</w:t>
            </w:r>
          </w:p>
        </w:tc>
      </w:tr>
    </w:tbl>
    <w:p/>
    <w:p>
      <w:pPr>
        <w:pStyle w:val="Heading1"/>
      </w:pPr>
      <w:r>
        <w:t>12. Partner Trust &amp; Fraud Controls</w:t>
      </w:r>
    </w:p>
    <w:p>
      <w:pPr>
        <w:pStyle w:val="ListBullet"/>
        <w:spacing w:after="40"/>
      </w:pPr>
      <w:r>
        <w:t>Each partner and staff account receives risk/reputation indicators.</w:t>
      </w:r>
    </w:p>
    <w:p>
      <w:pPr>
        <w:pStyle w:val="ListBullet"/>
        <w:spacing w:after="40"/>
      </w:pPr>
      <w:r>
        <w:t>Monitor deposits-to-returns ratio, high-value frequency and unusual reward patterns.</w:t>
      </w:r>
    </w:p>
    <w:p>
      <w:pPr>
        <w:pStyle w:val="ListBullet"/>
        <w:spacing w:after="40"/>
      </w:pPr>
      <w:r>
        <w:t>Detect repeated owner/finder/partner triangles and staff-linked accounts.</w:t>
      </w:r>
    </w:p>
    <w:p>
      <w:pPr>
        <w:pStyle w:val="ListBullet"/>
        <w:spacing w:after="40"/>
      </w:pPr>
      <w:r>
        <w:t>Require maker-checker approval for sensitive actions where appropriate.</w:t>
      </w:r>
    </w:p>
    <w:p>
      <w:pPr>
        <w:pStyle w:val="ListBullet"/>
        <w:spacing w:after="40"/>
      </w:pPr>
      <w:r>
        <w:t>Restrict staff from approving their own personal recovery cases.</w:t>
      </w:r>
    </w:p>
    <w:p>
      <w:pPr>
        <w:pStyle w:val="ListBullet"/>
        <w:spacing w:after="40"/>
      </w:pPr>
      <w:r>
        <w:t>Use status progression: ACTIVE → WATCHLIST → REWARD_HOLD → SUSPENDED.</w:t>
      </w:r>
    </w:p>
    <w:p>
      <w:pPr>
        <w:pStyle w:val="ListBullet"/>
        <w:spacing w:after="40"/>
      </w:pPr>
      <w:r>
        <w:t>Keep staff audit logs and prevent destructive deletion of custody events.</w:t>
      </w:r>
    </w:p>
    <w:p>
      <w:pPr>
        <w:pStyle w:val="Heading1"/>
      </w:pPr>
      <w:r>
        <w:t>13. Rewards Marketplace</w:t>
      </w:r>
    </w:p>
    <w:p>
      <w:r>
        <w:t>The preferred early-stage model is partner-funded benefits rather than direct BakPoints-to-cash conversion. Examples include mobile data, ride credits, delivery discounts, restaurant vouchers, retail discounts, event perks, insurance-related benefits and Bak2Me merchandise.</w:t>
      </w:r>
    </w:p>
    <w:p>
      <w:r>
        <w:t>Redemptions should use a separate ledger with statuses such as RESERVED, REDEEMED, EXPIRED, REVERSED. Partners receive redemption analytics and can define inventory, campaign dates, eligibility and per-user limits.</w:t>
      </w:r>
    </w:p>
    <w:p>
      <w:pPr>
        <w:pStyle w:val="Heading1"/>
      </w:pPr>
      <w:r>
        <w:t>14. Optional Owner-Funded Cash Rewards</w:t>
      </w:r>
    </w:p>
    <w:p>
      <w:r>
        <w:t>Owners may optionally attach a cash reward to a lost-item case. Where payment-provider and legal arrangements allow, Bak2Me should collect/authorize funds before advertising the reward, then release them only after a verified successful return and any fraud/dispute checks. A configurable platform processing fee can be applied.</w:t>
      </w:r>
    </w:p>
    <w:p>
      <w:pPr>
        <w:pStyle w:val="ListBullet"/>
        <w:spacing w:after="40"/>
      </w:pPr>
      <w:r>
        <w:t>Reward amount and terms are recorded before the finder accepts the recovery path.</w:t>
      </w:r>
    </w:p>
    <w:p>
      <w:pPr>
        <w:pStyle w:val="ListBullet"/>
        <w:spacing w:after="40"/>
      </w:pPr>
      <w:r>
        <w:t>High rewards trigger enhanced identity/fraud checks.</w:t>
      </w:r>
    </w:p>
    <w:p>
      <w:pPr>
        <w:pStyle w:val="ListBullet"/>
        <w:spacing w:after="40"/>
      </w:pPr>
      <w:r>
        <w:t>Cash rewards do not automatically increase BakPoints.</w:t>
      </w:r>
    </w:p>
    <w:p>
      <w:pPr>
        <w:pStyle w:val="ListBullet"/>
        <w:spacing w:after="40"/>
      </w:pPr>
      <w:r>
        <w:t>Payment/refund/release status must be reconciled with the payment provider.</w:t>
      </w:r>
    </w:p>
    <w:p>
      <w:pPr>
        <w:pStyle w:val="ListBullet"/>
        <w:spacing w:after="40"/>
      </w:pPr>
      <w:r>
        <w:t>The exact custody/escrow structure must be reviewed against applicable payment and financial-services requirements before launch.</w:t>
      </w:r>
    </w:p>
    <w:p>
      <w:pPr>
        <w:pStyle w:val="Heading1"/>
      </w:pPr>
      <w:r>
        <w:t>15. BakTags — QR/NFC Asset Registration</w:t>
      </w:r>
    </w:p>
    <w:p>
      <w:r>
        <w:t>BakTags can extend Bak2Me from reactive lost-and-found into proactive asset recovery. QR/NFC stickers, keyrings or cards can resolve to privacy-safe recovery pages without exposing the owner's phone number.</w:t>
      </w:r>
    </w:p>
    <w:p>
      <w:pPr>
        <w:pStyle w:val="ListBullet"/>
        <w:spacing w:after="40"/>
      </w:pPr>
      <w:r>
        <w:t>Owner registers asset, category, private identifiers and optional proof of ownership.</w:t>
      </w:r>
    </w:p>
    <w:p>
      <w:pPr>
        <w:pStyle w:val="ListBullet"/>
        <w:spacing w:after="40"/>
      </w:pPr>
      <w:r>
        <w:t>Finder scans tag without needing to see private owner information.</w:t>
      </w:r>
    </w:p>
    <w:p>
      <w:pPr>
        <w:pStyle w:val="ListBullet"/>
        <w:spacing w:after="40"/>
      </w:pPr>
      <w:r>
        <w:t>Bak2Me opens a secure communication/recovery workflow.</w:t>
      </w:r>
    </w:p>
    <w:p>
      <w:pPr>
        <w:pStyle w:val="ListBullet"/>
        <w:spacing w:after="40"/>
      </w:pPr>
      <w:r>
        <w:t>Historical registration date becomes an additional ownership signal.</w:t>
      </w:r>
    </w:p>
    <w:p>
      <w:pPr>
        <w:pStyle w:val="ListBullet"/>
        <w:spacing w:after="40"/>
      </w:pPr>
      <w:r>
        <w:t>Sensitive identifiers and evidence remain private and encrypted/access-controlled.</w:t>
      </w:r>
    </w:p>
    <w:p>
      <w:pPr>
        <w:pStyle w:val="ListBullet"/>
        <w:spacing w:after="40"/>
      </w:pPr>
      <w:r>
        <w:t>Future opportunity: second-hand ownership/transfer verification for registered assets.</w:t>
      </w:r>
    </w:p>
    <w:p>
      <w:pPr>
        <w:pStyle w:val="Heading1"/>
      </w:pPr>
      <w:r>
        <w:t>16. Reputation &amp; Trust Score</w:t>
      </w:r>
    </w:p>
    <w:p>
      <w:r>
        <w:t>BakPoints measure contribution/reward eligibility; Trust Score measures reliability. They must be separate so that a user cannot simply 'buy' trust through activity volume.</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14213D"/>
          </w:tcPr>
          <w:p>
            <w:r/>
            <w:r>
              <w:rPr>
                <w:rFonts w:ascii="Aptos" w:hAnsi="Aptos"/>
                <w:b/>
                <w:color w:val="FFFFFF"/>
                <w:sz w:val="18"/>
              </w:rPr>
              <w:t>Component</w:t>
            </w:r>
          </w:p>
        </w:tc>
        <w:tc>
          <w:tcPr>
            <w:tcW w:type="dxa" w:w="7200"/>
            <w:vAlign w:val="center"/>
            <w:shd w:fill="14213D"/>
          </w:tcPr>
          <w:p>
            <w:r/>
            <w:r>
              <w:rPr>
                <w:rFonts w:ascii="Aptos" w:hAnsi="Aptos"/>
                <w:b/>
                <w:color w:val="FFFFFF"/>
                <w:sz w:val="18"/>
              </w:rPr>
              <w:t>Example signals</w:t>
            </w:r>
          </w:p>
        </w:tc>
      </w:tr>
      <w:tr>
        <w:tc>
          <w:tcPr>
            <w:tcW w:type="dxa" w:w="2880"/>
            <w:vAlign w:val="center"/>
          </w:tcPr>
          <w:p>
            <w:r/>
            <w:r>
              <w:rPr>
                <w:rFonts w:ascii="Aptos" w:hAnsi="Aptos"/>
                <w:b w:val="0"/>
                <w:sz w:val="17"/>
              </w:rPr>
              <w:t>Identity confidence</w:t>
            </w:r>
          </w:p>
        </w:tc>
        <w:tc>
          <w:tcPr>
            <w:tcW w:type="dxa" w:w="7200"/>
            <w:vAlign w:val="center"/>
          </w:tcPr>
          <w:p>
            <w:r/>
            <w:r>
              <w:rPr>
                <w:rFonts w:ascii="Aptos" w:hAnsi="Aptos"/>
                <w:b w:val="0"/>
                <w:sz w:val="17"/>
              </w:rPr>
              <w:t>Verified phone/email/identity status.</w:t>
            </w:r>
          </w:p>
        </w:tc>
      </w:tr>
      <w:tr>
        <w:tc>
          <w:tcPr>
            <w:tcW w:type="dxa" w:w="2880"/>
            <w:vAlign w:val="center"/>
            <w:shd w:fill="F7F9FC"/>
          </w:tcPr>
          <w:p>
            <w:r/>
            <w:r>
              <w:rPr>
                <w:rFonts w:ascii="Aptos" w:hAnsi="Aptos"/>
                <w:b w:val="0"/>
                <w:sz w:val="17"/>
              </w:rPr>
              <w:t>Recovery history</w:t>
            </w:r>
          </w:p>
        </w:tc>
        <w:tc>
          <w:tcPr>
            <w:tcW w:type="dxa" w:w="7200"/>
            <w:vAlign w:val="center"/>
            <w:shd w:fill="F7F9FC"/>
          </w:tcPr>
          <w:p>
            <w:r/>
            <w:r>
              <w:rPr>
                <w:rFonts w:ascii="Aptos" w:hAnsi="Aptos"/>
                <w:b w:val="0"/>
                <w:sz w:val="17"/>
              </w:rPr>
              <w:t>Verified successful returns, disputes and reversals.</w:t>
            </w:r>
          </w:p>
        </w:tc>
      </w:tr>
      <w:tr>
        <w:tc>
          <w:tcPr>
            <w:tcW w:type="dxa" w:w="2880"/>
            <w:vAlign w:val="center"/>
          </w:tcPr>
          <w:p>
            <w:r/>
            <w:r>
              <w:rPr>
                <w:rFonts w:ascii="Aptos" w:hAnsi="Aptos"/>
                <w:b w:val="0"/>
                <w:sz w:val="17"/>
              </w:rPr>
              <w:t>Verification quality</w:t>
            </w:r>
          </w:p>
        </w:tc>
        <w:tc>
          <w:tcPr>
            <w:tcW w:type="dxa" w:w="7200"/>
            <w:vAlign w:val="center"/>
          </w:tcPr>
          <w:p>
            <w:r/>
            <w:r>
              <w:rPr>
                <w:rFonts w:ascii="Aptos" w:hAnsi="Aptos"/>
                <w:b w:val="0"/>
                <w:sz w:val="17"/>
              </w:rPr>
              <w:t>Recovery Point/institutional returns carry stronger evidence.</w:t>
            </w:r>
          </w:p>
        </w:tc>
      </w:tr>
      <w:tr>
        <w:tc>
          <w:tcPr>
            <w:tcW w:type="dxa" w:w="2880"/>
            <w:vAlign w:val="center"/>
            <w:shd w:fill="F7F9FC"/>
          </w:tcPr>
          <w:p>
            <w:r/>
            <w:r>
              <w:rPr>
                <w:rFonts w:ascii="Aptos" w:hAnsi="Aptos"/>
                <w:b w:val="0"/>
                <w:sz w:val="17"/>
              </w:rPr>
              <w:t>Account integrity</w:t>
            </w:r>
          </w:p>
        </w:tc>
        <w:tc>
          <w:tcPr>
            <w:tcW w:type="dxa" w:w="7200"/>
            <w:vAlign w:val="center"/>
            <w:shd w:fill="F7F9FC"/>
          </w:tcPr>
          <w:p>
            <w:r/>
            <w:r>
              <w:rPr>
                <w:rFonts w:ascii="Aptos" w:hAnsi="Aptos"/>
                <w:b w:val="0"/>
                <w:sz w:val="17"/>
              </w:rPr>
              <w:t>Device/account linkage, abuse history, security events.</w:t>
            </w:r>
          </w:p>
        </w:tc>
      </w:tr>
      <w:tr>
        <w:tc>
          <w:tcPr>
            <w:tcW w:type="dxa" w:w="2880"/>
            <w:vAlign w:val="center"/>
          </w:tcPr>
          <w:p>
            <w:r/>
            <w:r>
              <w:rPr>
                <w:rFonts w:ascii="Aptos" w:hAnsi="Aptos"/>
                <w:b w:val="0"/>
                <w:sz w:val="17"/>
              </w:rPr>
              <w:t>Community history</w:t>
            </w:r>
          </w:p>
        </w:tc>
        <w:tc>
          <w:tcPr>
            <w:tcW w:type="dxa" w:w="7200"/>
            <w:vAlign w:val="center"/>
          </w:tcPr>
          <w:p>
            <w:r/>
            <w:r>
              <w:rPr>
                <w:rFonts w:ascii="Aptos" w:hAnsi="Aptos"/>
                <w:b w:val="0"/>
                <w:sz w:val="17"/>
              </w:rPr>
              <w:t>Owner confirmations and legitimate feedback, protected against reciprocal farming.</w:t>
            </w:r>
          </w:p>
        </w:tc>
      </w:tr>
      <w:tr>
        <w:tc>
          <w:tcPr>
            <w:tcW w:type="dxa" w:w="2880"/>
            <w:vAlign w:val="center"/>
            <w:shd w:fill="F7F9FC"/>
          </w:tcPr>
          <w:p>
            <w:r/>
            <w:r>
              <w:rPr>
                <w:rFonts w:ascii="Aptos" w:hAnsi="Aptos"/>
                <w:b w:val="0"/>
                <w:sz w:val="17"/>
              </w:rPr>
              <w:t>Partner integrity</w:t>
            </w:r>
          </w:p>
        </w:tc>
        <w:tc>
          <w:tcPr>
            <w:tcW w:type="dxa" w:w="7200"/>
            <w:vAlign w:val="center"/>
            <w:shd w:fill="F7F9FC"/>
          </w:tcPr>
          <w:p>
            <w:r/>
            <w:r>
              <w:rPr>
                <w:rFonts w:ascii="Aptos" w:hAnsi="Aptos"/>
                <w:b w:val="0"/>
                <w:sz w:val="17"/>
              </w:rPr>
              <w:t>For staff/organizations: custody accuracy, disputes, anomaly history.</w:t>
            </w:r>
          </w:p>
        </w:tc>
      </w:tr>
    </w:tbl>
    <w:p/>
    <w:p>
      <w:r>
        <w:t>Possible community levels: New Finder → Helper → Trusted Finder → Community Hero → Guardian → Bak2Me Legend.</w:t>
      </w:r>
    </w:p>
    <w:p>
      <w:pPr>
        <w:pStyle w:val="Heading1"/>
      </w:pPr>
      <w:r>
        <w:t>17. Admin Trust &amp; Safety Command Center</w:t>
      </w:r>
    </w:p>
    <w:p>
      <w:pPr>
        <w:pStyle w:val="ListBullet"/>
        <w:spacing w:after="40"/>
      </w:pPr>
      <w:r>
        <w:t>Live recovery and custody map.</w:t>
      </w:r>
    </w:p>
    <w:p>
      <w:pPr>
        <w:pStyle w:val="ListBullet"/>
        <w:spacing w:after="40"/>
      </w:pPr>
      <w:r>
        <w:t>Suspicious recovery clusters and relationship graphs.</w:t>
      </w:r>
    </w:p>
    <w:p>
      <w:pPr>
        <w:pStyle w:val="ListBullet"/>
        <w:spacing w:after="40"/>
      </w:pPr>
      <w:r>
        <w:t>Repeated owner ↔ finder pair detection.</w:t>
      </w:r>
    </w:p>
    <w:p>
      <w:pPr>
        <w:pStyle w:val="ListBullet"/>
        <w:spacing w:after="40"/>
      </w:pPr>
      <w:r>
        <w:t>Device/account/payment linkage indicators.</w:t>
      </w:r>
    </w:p>
    <w:p>
      <w:pPr>
        <w:pStyle w:val="ListBullet"/>
        <w:spacing w:after="40"/>
      </w:pPr>
      <w:r>
        <w:t>Partner and staff anomaly alerts.</w:t>
      </w:r>
    </w:p>
    <w:p>
      <w:pPr>
        <w:pStyle w:val="ListBullet"/>
        <w:spacing w:after="40"/>
      </w:pPr>
      <w:r>
        <w:t>High-value item queue.</w:t>
      </w:r>
    </w:p>
    <w:p>
      <w:pPr>
        <w:pStyle w:val="ListBullet"/>
        <w:spacing w:after="40"/>
      </w:pPr>
      <w:r>
        <w:t>Pending/held/reversed BakPoints and cash rewards.</w:t>
      </w:r>
    </w:p>
    <w:p>
      <w:pPr>
        <w:pStyle w:val="ListBullet"/>
        <w:spacing w:after="40"/>
      </w:pPr>
      <w:r>
        <w:t>Fraud case management, notes, evidence and reviewer assignment.</w:t>
      </w:r>
    </w:p>
    <w:p>
      <w:pPr>
        <w:pStyle w:val="ListBullet"/>
        <w:spacing w:after="40"/>
      </w:pPr>
      <w:r>
        <w:t>User/partner Trust Scores and complete recovery histories.</w:t>
      </w:r>
    </w:p>
    <w:p>
      <w:pPr>
        <w:pStyle w:val="ListBullet"/>
        <w:spacing w:after="40"/>
      </w:pPr>
      <w:r>
        <w:t>Disputes, appeals, blacklists and sanctions.</w:t>
      </w:r>
    </w:p>
    <w:p>
      <w:pPr>
        <w:pStyle w:val="ListBullet"/>
        <w:spacing w:after="40"/>
      </w:pPr>
      <w:r>
        <w:t>Immutable-style audit trail for sensitive admin actions.</w:t>
      </w:r>
    </w:p>
    <w:p>
      <w:pPr>
        <w:pStyle w:val="Heading1"/>
      </w:pPr>
      <w:r>
        <w:t>18. Admin-Editable Business Rules</w:t>
      </w:r>
    </w:p>
    <w:p>
      <w:r>
        <w:t>Do not hardcode the economics. At minimum, administrators should be able to edit:</w:t>
      </w:r>
    </w:p>
    <w:tbl>
      <w:tblPr>
        <w:tblStyle w:val="TableGrid"/>
        <w:tblW w:type="auto" w:w="0"/>
        <w:jc w:val="center"/>
        <w:tblLook w:firstColumn="1" w:firstRow="1" w:lastColumn="0" w:lastRow="0" w:noHBand="0" w:noVBand="1" w:val="04A0"/>
      </w:tblPr>
      <w:tblGrid>
        <w:gridCol w:w="5040"/>
        <w:gridCol w:w="5040"/>
      </w:tblGrid>
      <w:tr>
        <w:tc>
          <w:tcPr>
            <w:tcW w:type="dxa" w:w="3744"/>
            <w:vAlign w:val="center"/>
            <w:shd w:fill="14213D"/>
          </w:tcPr>
          <w:p>
            <w:r/>
            <w:r>
              <w:rPr>
                <w:rFonts w:ascii="Aptos" w:hAnsi="Aptos"/>
                <w:b/>
                <w:color w:val="FFFFFF"/>
                <w:sz w:val="18"/>
              </w:rPr>
              <w:t>Configuration</w:t>
            </w:r>
          </w:p>
        </w:tc>
        <w:tc>
          <w:tcPr>
            <w:tcW w:type="dxa" w:w="6336"/>
            <w:vAlign w:val="center"/>
            <w:shd w:fill="14213D"/>
          </w:tcPr>
          <w:p>
            <w:r/>
            <w:r>
              <w:rPr>
                <w:rFonts w:ascii="Aptos" w:hAnsi="Aptos"/>
                <w:b/>
                <w:color w:val="FFFFFF"/>
                <w:sz w:val="18"/>
              </w:rPr>
              <w:t>Purpose</w:t>
            </w:r>
          </w:p>
        </w:tc>
      </w:tr>
      <w:tr>
        <w:tc>
          <w:tcPr>
            <w:tcW w:type="dxa" w:w="3744"/>
            <w:vAlign w:val="center"/>
          </w:tcPr>
          <w:p>
            <w:r/>
            <w:r>
              <w:rPr>
                <w:rFonts w:ascii="Aptos" w:hAnsi="Aptos"/>
                <w:b w:val="0"/>
                <w:sz w:val="17"/>
              </w:rPr>
              <w:t>points_per_action / category bonuses</w:t>
            </w:r>
          </w:p>
        </w:tc>
        <w:tc>
          <w:tcPr>
            <w:tcW w:type="dxa" w:w="6336"/>
            <w:vAlign w:val="center"/>
          </w:tcPr>
          <w:p>
            <w:r/>
            <w:r>
              <w:rPr>
                <w:rFonts w:ascii="Aptos" w:hAnsi="Aptos"/>
                <w:b w:val="0"/>
                <w:sz w:val="17"/>
              </w:rPr>
              <w:t>Tune the BakPoints economy.</w:t>
            </w:r>
          </w:p>
        </w:tc>
      </w:tr>
      <w:tr>
        <w:tc>
          <w:tcPr>
            <w:tcW w:type="dxa" w:w="3744"/>
            <w:vAlign w:val="center"/>
            <w:shd w:fill="F7F9FC"/>
          </w:tcPr>
          <w:p>
            <w:r/>
            <w:r>
              <w:rPr>
                <w:rFonts w:ascii="Aptos" w:hAnsi="Aptos"/>
                <w:b w:val="0"/>
                <w:sz w:val="17"/>
              </w:rPr>
              <w:t>points_pending_days</w:t>
            </w:r>
          </w:p>
        </w:tc>
        <w:tc>
          <w:tcPr>
            <w:tcW w:type="dxa" w:w="6336"/>
            <w:vAlign w:val="center"/>
            <w:shd w:fill="F7F9FC"/>
          </w:tcPr>
          <w:p>
            <w:r/>
            <w:r>
              <w:rPr>
                <w:rFonts w:ascii="Aptos" w:hAnsi="Aptos"/>
                <w:b w:val="0"/>
                <w:sz w:val="17"/>
              </w:rPr>
              <w:t>Set fraud/dispute holding period.</w:t>
            </w:r>
          </w:p>
        </w:tc>
      </w:tr>
      <w:tr>
        <w:tc>
          <w:tcPr>
            <w:tcW w:type="dxa" w:w="3744"/>
            <w:vAlign w:val="center"/>
          </w:tcPr>
          <w:p>
            <w:r/>
            <w:r>
              <w:rPr>
                <w:rFonts w:ascii="Aptos" w:hAnsi="Aptos"/>
                <w:b w:val="0"/>
                <w:sz w:val="17"/>
              </w:rPr>
              <w:t>daily / weekly / monthly point caps</w:t>
            </w:r>
          </w:p>
        </w:tc>
        <w:tc>
          <w:tcPr>
            <w:tcW w:type="dxa" w:w="6336"/>
            <w:vAlign w:val="center"/>
          </w:tcPr>
          <w:p>
            <w:r/>
            <w:r>
              <w:rPr>
                <w:rFonts w:ascii="Aptos" w:hAnsi="Aptos"/>
                <w:b w:val="0"/>
                <w:sz w:val="17"/>
              </w:rPr>
              <w:t>Limit farming exposure.</w:t>
            </w:r>
          </w:p>
        </w:tc>
      </w:tr>
      <w:tr>
        <w:tc>
          <w:tcPr>
            <w:tcW w:type="dxa" w:w="3744"/>
            <w:vAlign w:val="center"/>
            <w:shd w:fill="F7F9FC"/>
          </w:tcPr>
          <w:p>
            <w:r/>
            <w:r>
              <w:rPr>
                <w:rFonts w:ascii="Aptos" w:hAnsi="Aptos"/>
                <w:b w:val="0"/>
                <w:sz w:val="17"/>
              </w:rPr>
              <w:t>direct_return_multiplier</w:t>
            </w:r>
          </w:p>
        </w:tc>
        <w:tc>
          <w:tcPr>
            <w:tcW w:type="dxa" w:w="6336"/>
            <w:vAlign w:val="center"/>
            <w:shd w:fill="F7F9FC"/>
          </w:tcPr>
          <w:p>
            <w:r/>
            <w:r>
              <w:rPr>
                <w:rFonts w:ascii="Aptos" w:hAnsi="Aptos"/>
                <w:b w:val="0"/>
                <w:sz w:val="17"/>
              </w:rPr>
              <w:t>Lower trust weighting for peer-only returns.</w:t>
            </w:r>
          </w:p>
        </w:tc>
      </w:tr>
      <w:tr>
        <w:tc>
          <w:tcPr>
            <w:tcW w:type="dxa" w:w="3744"/>
            <w:vAlign w:val="center"/>
          </w:tcPr>
          <w:p>
            <w:r/>
            <w:r>
              <w:rPr>
                <w:rFonts w:ascii="Aptos" w:hAnsi="Aptos"/>
                <w:b w:val="0"/>
                <w:sz w:val="17"/>
              </w:rPr>
              <w:t>verified_return_multiplier</w:t>
            </w:r>
          </w:p>
        </w:tc>
        <w:tc>
          <w:tcPr>
            <w:tcW w:type="dxa" w:w="6336"/>
            <w:vAlign w:val="center"/>
          </w:tcPr>
          <w:p>
            <w:r/>
            <w:r>
              <w:rPr>
                <w:rFonts w:ascii="Aptos" w:hAnsi="Aptos"/>
                <w:b w:val="0"/>
                <w:sz w:val="17"/>
              </w:rPr>
              <w:t>Reward stronger evidence paths.</w:t>
            </w:r>
          </w:p>
        </w:tc>
      </w:tr>
      <w:tr>
        <w:tc>
          <w:tcPr>
            <w:tcW w:type="dxa" w:w="3744"/>
            <w:vAlign w:val="center"/>
            <w:shd w:fill="F7F9FC"/>
          </w:tcPr>
          <w:p>
            <w:r/>
            <w:r>
              <w:rPr>
                <w:rFonts w:ascii="Aptos" w:hAnsi="Aptos"/>
                <w:b w:val="0"/>
                <w:sz w:val="17"/>
              </w:rPr>
              <w:t>repeat_pair_penalty</w:t>
            </w:r>
          </w:p>
        </w:tc>
        <w:tc>
          <w:tcPr>
            <w:tcW w:type="dxa" w:w="6336"/>
            <w:vAlign w:val="center"/>
            <w:shd w:fill="F7F9FC"/>
          </w:tcPr>
          <w:p>
            <w:r/>
            <w:r>
              <w:rPr>
                <w:rFonts w:ascii="Aptos" w:hAnsi="Aptos"/>
                <w:b w:val="0"/>
                <w:sz w:val="17"/>
              </w:rPr>
              <w:t>Reduce rewards for repeated owner/finder pairs.</w:t>
            </w:r>
          </w:p>
        </w:tc>
      </w:tr>
      <w:tr>
        <w:tc>
          <w:tcPr>
            <w:tcW w:type="dxa" w:w="3744"/>
            <w:vAlign w:val="center"/>
          </w:tcPr>
          <w:p>
            <w:r/>
            <w:r>
              <w:rPr>
                <w:rFonts w:ascii="Aptos" w:hAnsi="Aptos"/>
                <w:b w:val="0"/>
                <w:sz w:val="17"/>
              </w:rPr>
              <w:t>new_account_reward_delay</w:t>
            </w:r>
          </w:p>
        </w:tc>
        <w:tc>
          <w:tcPr>
            <w:tcW w:type="dxa" w:w="6336"/>
            <w:vAlign w:val="center"/>
          </w:tcPr>
          <w:p>
            <w:r/>
            <w:r>
              <w:rPr>
                <w:rFonts w:ascii="Aptos" w:hAnsi="Aptos"/>
                <w:b w:val="0"/>
                <w:sz w:val="17"/>
              </w:rPr>
              <w:t>Protect against newly created farming accounts.</w:t>
            </w:r>
          </w:p>
        </w:tc>
      </w:tr>
      <w:tr>
        <w:tc>
          <w:tcPr>
            <w:tcW w:type="dxa" w:w="3744"/>
            <w:vAlign w:val="center"/>
            <w:shd w:fill="F7F9FC"/>
          </w:tcPr>
          <w:p>
            <w:r/>
            <w:r>
              <w:rPr>
                <w:rFonts w:ascii="Aptos" w:hAnsi="Aptos"/>
                <w:b w:val="0"/>
                <w:sz w:val="17"/>
              </w:rPr>
              <w:t>high_value_threshold</w:t>
            </w:r>
          </w:p>
        </w:tc>
        <w:tc>
          <w:tcPr>
            <w:tcW w:type="dxa" w:w="6336"/>
            <w:vAlign w:val="center"/>
            <w:shd w:fill="F7F9FC"/>
          </w:tcPr>
          <w:p>
            <w:r/>
            <w:r>
              <w:rPr>
                <w:rFonts w:ascii="Aptos" w:hAnsi="Aptos"/>
                <w:b w:val="0"/>
                <w:sz w:val="17"/>
              </w:rPr>
              <w:t>Trigger enhanced verification.</w:t>
            </w:r>
          </w:p>
        </w:tc>
      </w:tr>
      <w:tr>
        <w:tc>
          <w:tcPr>
            <w:tcW w:type="dxa" w:w="3744"/>
            <w:vAlign w:val="center"/>
          </w:tcPr>
          <w:p>
            <w:r/>
            <w:r>
              <w:rPr>
                <w:rFonts w:ascii="Aptos" w:hAnsi="Aptos"/>
                <w:b w:val="0"/>
                <w:sz w:val="17"/>
              </w:rPr>
              <w:t>risk_review / freeze thresholds</w:t>
            </w:r>
          </w:p>
        </w:tc>
        <w:tc>
          <w:tcPr>
            <w:tcW w:type="dxa" w:w="6336"/>
            <w:vAlign w:val="center"/>
          </w:tcPr>
          <w:p>
            <w:r/>
            <w:r>
              <w:rPr>
                <w:rFonts w:ascii="Aptos" w:hAnsi="Aptos"/>
                <w:b w:val="0"/>
                <w:sz w:val="17"/>
              </w:rPr>
              <w:t>Control automated Trust &amp; Safety routing.</w:t>
            </w:r>
          </w:p>
        </w:tc>
      </w:tr>
      <w:tr>
        <w:tc>
          <w:tcPr>
            <w:tcW w:type="dxa" w:w="3744"/>
            <w:vAlign w:val="center"/>
            <w:shd w:fill="F7F9FC"/>
          </w:tcPr>
          <w:p>
            <w:r/>
            <w:r>
              <w:rPr>
                <w:rFonts w:ascii="Aptos" w:hAnsi="Aptos"/>
                <w:b w:val="0"/>
                <w:sz w:val="17"/>
              </w:rPr>
              <w:t>reward_platform_fee</w:t>
            </w:r>
          </w:p>
        </w:tc>
        <w:tc>
          <w:tcPr>
            <w:tcW w:type="dxa" w:w="6336"/>
            <w:vAlign w:val="center"/>
            <w:shd w:fill="F7F9FC"/>
          </w:tcPr>
          <w:p>
            <w:r/>
            <w:r>
              <w:rPr>
                <w:rFonts w:ascii="Aptos" w:hAnsi="Aptos"/>
                <w:b w:val="0"/>
                <w:sz w:val="17"/>
              </w:rPr>
              <w:t>Configure owner-funded reward processing economics.</w:t>
            </w:r>
          </w:p>
        </w:tc>
      </w:tr>
      <w:tr>
        <w:tc>
          <w:tcPr>
            <w:tcW w:type="dxa" w:w="3744"/>
            <w:vAlign w:val="center"/>
          </w:tcPr>
          <w:p>
            <w:r/>
            <w:r>
              <w:rPr>
                <w:rFonts w:ascii="Aptos" w:hAnsi="Aptos"/>
                <w:b w:val="0"/>
                <w:sz w:val="17"/>
              </w:rPr>
              <w:t>partner tier permissions</w:t>
            </w:r>
          </w:p>
        </w:tc>
        <w:tc>
          <w:tcPr>
            <w:tcW w:type="dxa" w:w="6336"/>
            <w:vAlign w:val="center"/>
          </w:tcPr>
          <w:p>
            <w:r/>
            <w:r>
              <w:rPr>
                <w:rFonts w:ascii="Aptos" w:hAnsi="Aptos"/>
                <w:b w:val="0"/>
                <w:sz w:val="17"/>
              </w:rPr>
              <w:t>Control custody, verification and reporting capabilities.</w:t>
            </w:r>
          </w:p>
        </w:tc>
      </w:tr>
      <w:tr>
        <w:tc>
          <w:tcPr>
            <w:tcW w:type="dxa" w:w="3744"/>
            <w:vAlign w:val="center"/>
            <w:shd w:fill="F7F9FC"/>
          </w:tcPr>
          <w:p>
            <w:r/>
            <w:r>
              <w:rPr>
                <w:rFonts w:ascii="Aptos" w:hAnsi="Aptos"/>
                <w:b w:val="0"/>
                <w:sz w:val="17"/>
              </w:rPr>
              <w:t>campaign / sponsor multipliers</w:t>
            </w:r>
          </w:p>
        </w:tc>
        <w:tc>
          <w:tcPr>
            <w:tcW w:type="dxa" w:w="6336"/>
            <w:vAlign w:val="center"/>
            <w:shd w:fill="F7F9FC"/>
          </w:tcPr>
          <w:p>
            <w:r/>
            <w:r>
              <w:rPr>
                <w:rFonts w:ascii="Aptos" w:hAnsi="Aptos"/>
                <w:b w:val="0"/>
                <w:sz w:val="17"/>
              </w:rPr>
              <w:t>Run temporary partner-funded incentives.</w:t>
            </w:r>
          </w:p>
        </w:tc>
      </w:tr>
    </w:tbl>
    <w:p/>
    <w:p>
      <w:pPr>
        <w:pStyle w:val="Heading1"/>
      </w:pPr>
      <w:r>
        <w:t>19. Suggested Core Data Model</w:t>
      </w:r>
    </w:p>
    <w:tbl>
      <w:tblPr>
        <w:tblStyle w:val="TableGrid"/>
        <w:tblW w:type="auto" w:w="0"/>
        <w:jc w:val="center"/>
        <w:tblLook w:firstColumn="1" w:firstRow="1" w:lastColumn="0" w:lastRow="0" w:noHBand="0" w:noVBand="1" w:val="04A0"/>
      </w:tblPr>
      <w:tblGrid>
        <w:gridCol w:w="5040"/>
        <w:gridCol w:w="5040"/>
      </w:tblGrid>
      <w:tr>
        <w:tc>
          <w:tcPr>
            <w:tcW w:type="dxa" w:w="3024"/>
            <w:vAlign w:val="center"/>
            <w:shd w:fill="14213D"/>
          </w:tcPr>
          <w:p>
            <w:r/>
            <w:r>
              <w:rPr>
                <w:rFonts w:ascii="Aptos" w:hAnsi="Aptos"/>
                <w:b/>
                <w:color w:val="FFFFFF"/>
                <w:sz w:val="18"/>
              </w:rPr>
              <w:t>Entity</w:t>
            </w:r>
          </w:p>
        </w:tc>
        <w:tc>
          <w:tcPr>
            <w:tcW w:type="dxa" w:w="7056"/>
            <w:vAlign w:val="center"/>
            <w:shd w:fill="14213D"/>
          </w:tcPr>
          <w:p>
            <w:r/>
            <w:r>
              <w:rPr>
                <w:rFonts w:ascii="Aptos" w:hAnsi="Aptos"/>
                <w:b/>
                <w:color w:val="FFFFFF"/>
                <w:sz w:val="18"/>
              </w:rPr>
              <w:t>Key responsibility</w:t>
            </w:r>
          </w:p>
        </w:tc>
      </w:tr>
      <w:tr>
        <w:tc>
          <w:tcPr>
            <w:tcW w:type="dxa" w:w="3024"/>
            <w:vAlign w:val="center"/>
          </w:tcPr>
          <w:p>
            <w:r/>
            <w:r>
              <w:rPr>
                <w:rFonts w:ascii="Aptos" w:hAnsi="Aptos"/>
                <w:b w:val="0"/>
                <w:sz w:val="17"/>
              </w:rPr>
              <w:t>users</w:t>
            </w:r>
          </w:p>
        </w:tc>
        <w:tc>
          <w:tcPr>
            <w:tcW w:type="dxa" w:w="7056"/>
            <w:vAlign w:val="center"/>
          </w:tcPr>
          <w:p>
            <w:r/>
            <w:r>
              <w:rPr>
                <w:rFonts w:ascii="Aptos" w:hAnsi="Aptos"/>
                <w:b w:val="0"/>
                <w:sz w:val="17"/>
              </w:rPr>
              <w:t>Identity, verification state, role, trust status.</w:t>
            </w:r>
          </w:p>
        </w:tc>
      </w:tr>
      <w:tr>
        <w:tc>
          <w:tcPr>
            <w:tcW w:type="dxa" w:w="3024"/>
            <w:vAlign w:val="center"/>
            <w:shd w:fill="F7F9FC"/>
          </w:tcPr>
          <w:p>
            <w:r/>
            <w:r>
              <w:rPr>
                <w:rFonts w:ascii="Aptos" w:hAnsi="Aptos"/>
                <w:b w:val="0"/>
                <w:sz w:val="17"/>
              </w:rPr>
              <w:t>devices / risk_links</w:t>
            </w:r>
          </w:p>
        </w:tc>
        <w:tc>
          <w:tcPr>
            <w:tcW w:type="dxa" w:w="7056"/>
            <w:vAlign w:val="center"/>
            <w:shd w:fill="F7F9FC"/>
          </w:tcPr>
          <w:p>
            <w:r/>
            <w:r>
              <w:rPr>
                <w:rFonts w:ascii="Aptos" w:hAnsi="Aptos"/>
                <w:b w:val="0"/>
                <w:sz w:val="17"/>
              </w:rPr>
              <w:t>Fraud linkage signals and relationship graph references.</w:t>
            </w:r>
          </w:p>
        </w:tc>
      </w:tr>
      <w:tr>
        <w:tc>
          <w:tcPr>
            <w:tcW w:type="dxa" w:w="3024"/>
            <w:vAlign w:val="center"/>
          </w:tcPr>
          <w:p>
            <w:r/>
            <w:r>
              <w:rPr>
                <w:rFonts w:ascii="Aptos" w:hAnsi="Aptos"/>
                <w:b w:val="0"/>
                <w:sz w:val="17"/>
              </w:rPr>
              <w:t>items</w:t>
            </w:r>
          </w:p>
        </w:tc>
        <w:tc>
          <w:tcPr>
            <w:tcW w:type="dxa" w:w="7056"/>
            <w:vAlign w:val="center"/>
          </w:tcPr>
          <w:p>
            <w:r/>
            <w:r>
              <w:rPr>
                <w:rFonts w:ascii="Aptos" w:hAnsi="Aptos"/>
                <w:b w:val="0"/>
                <w:sz w:val="17"/>
              </w:rPr>
              <w:t>Lost/found asset record and privacy-safe public fields.</w:t>
            </w:r>
          </w:p>
        </w:tc>
      </w:tr>
      <w:tr>
        <w:tc>
          <w:tcPr>
            <w:tcW w:type="dxa" w:w="3024"/>
            <w:vAlign w:val="center"/>
            <w:shd w:fill="F7F9FC"/>
          </w:tcPr>
          <w:p>
            <w:r/>
            <w:r>
              <w:rPr>
                <w:rFonts w:ascii="Aptos" w:hAnsi="Aptos"/>
                <w:b w:val="0"/>
                <w:sz w:val="17"/>
              </w:rPr>
              <w:t>asset_registrations</w:t>
            </w:r>
          </w:p>
        </w:tc>
        <w:tc>
          <w:tcPr>
            <w:tcW w:type="dxa" w:w="7056"/>
            <w:vAlign w:val="center"/>
            <w:shd w:fill="F7F9FC"/>
          </w:tcPr>
          <w:p>
            <w:r/>
            <w:r>
              <w:rPr>
                <w:rFonts w:ascii="Aptos" w:hAnsi="Aptos"/>
                <w:b w:val="0"/>
                <w:sz w:val="17"/>
              </w:rPr>
              <w:t>Pre-loss registered ownership evidence / BakTag relationship.</w:t>
            </w:r>
          </w:p>
        </w:tc>
      </w:tr>
      <w:tr>
        <w:tc>
          <w:tcPr>
            <w:tcW w:type="dxa" w:w="3024"/>
            <w:vAlign w:val="center"/>
          </w:tcPr>
          <w:p>
            <w:r/>
            <w:r>
              <w:rPr>
                <w:rFonts w:ascii="Aptos" w:hAnsi="Aptos"/>
                <w:b w:val="0"/>
                <w:sz w:val="17"/>
              </w:rPr>
              <w:t>claims</w:t>
            </w:r>
          </w:p>
        </w:tc>
        <w:tc>
          <w:tcPr>
            <w:tcW w:type="dxa" w:w="7056"/>
            <w:vAlign w:val="center"/>
          </w:tcPr>
          <w:p>
            <w:r/>
            <w:r>
              <w:rPr>
                <w:rFonts w:ascii="Aptos" w:hAnsi="Aptos"/>
                <w:b w:val="0"/>
                <w:sz w:val="17"/>
              </w:rPr>
              <w:t>Ownership claim and verification workflow.</w:t>
            </w:r>
          </w:p>
        </w:tc>
      </w:tr>
      <w:tr>
        <w:tc>
          <w:tcPr>
            <w:tcW w:type="dxa" w:w="3024"/>
            <w:vAlign w:val="center"/>
            <w:shd w:fill="F7F9FC"/>
          </w:tcPr>
          <w:p>
            <w:r/>
            <w:r>
              <w:rPr>
                <w:rFonts w:ascii="Aptos" w:hAnsi="Aptos"/>
                <w:b w:val="0"/>
                <w:sz w:val="17"/>
              </w:rPr>
              <w:t>recovery_cases</w:t>
            </w:r>
          </w:p>
        </w:tc>
        <w:tc>
          <w:tcPr>
            <w:tcW w:type="dxa" w:w="7056"/>
            <w:vAlign w:val="center"/>
            <w:shd w:fill="F7F9FC"/>
          </w:tcPr>
          <w:p>
            <w:r/>
            <w:r>
              <w:rPr>
                <w:rFonts w:ascii="Aptos" w:hAnsi="Aptos"/>
                <w:b w:val="0"/>
                <w:sz w:val="17"/>
              </w:rPr>
              <w:t>End-to-end recovery state.</w:t>
            </w:r>
          </w:p>
        </w:tc>
      </w:tr>
      <w:tr>
        <w:tc>
          <w:tcPr>
            <w:tcW w:type="dxa" w:w="3024"/>
            <w:vAlign w:val="center"/>
          </w:tcPr>
          <w:p>
            <w:r/>
            <w:r>
              <w:rPr>
                <w:rFonts w:ascii="Aptos" w:hAnsi="Aptos"/>
                <w:b w:val="0"/>
                <w:sz w:val="17"/>
              </w:rPr>
              <w:t>recovery_events</w:t>
            </w:r>
          </w:p>
        </w:tc>
        <w:tc>
          <w:tcPr>
            <w:tcW w:type="dxa" w:w="7056"/>
            <w:vAlign w:val="center"/>
          </w:tcPr>
          <w:p>
            <w:r/>
            <w:r>
              <w:rPr>
                <w:rFonts w:ascii="Aptos" w:hAnsi="Aptos"/>
                <w:b w:val="0"/>
                <w:sz w:val="17"/>
              </w:rPr>
              <w:t>Append-oriented event/audit history.</w:t>
            </w:r>
          </w:p>
        </w:tc>
      </w:tr>
      <w:tr>
        <w:tc>
          <w:tcPr>
            <w:tcW w:type="dxa" w:w="3024"/>
            <w:vAlign w:val="center"/>
            <w:shd w:fill="F7F9FC"/>
          </w:tcPr>
          <w:p>
            <w:r/>
            <w:r>
              <w:rPr>
                <w:rFonts w:ascii="Aptos" w:hAnsi="Aptos"/>
                <w:b w:val="0"/>
                <w:sz w:val="17"/>
              </w:rPr>
              <w:t>partners / partner_locations</w:t>
            </w:r>
          </w:p>
        </w:tc>
        <w:tc>
          <w:tcPr>
            <w:tcW w:type="dxa" w:w="7056"/>
            <w:vAlign w:val="center"/>
            <w:shd w:fill="F7F9FC"/>
          </w:tcPr>
          <w:p>
            <w:r/>
            <w:r>
              <w:rPr>
                <w:rFonts w:ascii="Aptos" w:hAnsi="Aptos"/>
                <w:b w:val="0"/>
                <w:sz w:val="17"/>
              </w:rPr>
              <w:t>Organization and Recovery Point configuration.</w:t>
            </w:r>
          </w:p>
        </w:tc>
      </w:tr>
      <w:tr>
        <w:tc>
          <w:tcPr>
            <w:tcW w:type="dxa" w:w="3024"/>
            <w:vAlign w:val="center"/>
          </w:tcPr>
          <w:p>
            <w:r/>
            <w:r>
              <w:rPr>
                <w:rFonts w:ascii="Aptos" w:hAnsi="Aptos"/>
                <w:b w:val="0"/>
                <w:sz w:val="17"/>
              </w:rPr>
              <w:t>partner_staff</w:t>
            </w:r>
          </w:p>
        </w:tc>
        <w:tc>
          <w:tcPr>
            <w:tcW w:type="dxa" w:w="7056"/>
            <w:vAlign w:val="center"/>
          </w:tcPr>
          <w:p>
            <w:r/>
            <w:r>
              <w:rPr>
                <w:rFonts w:ascii="Aptos" w:hAnsi="Aptos"/>
                <w:b w:val="0"/>
                <w:sz w:val="17"/>
              </w:rPr>
              <w:t>Role-based staff access and audit identity.</w:t>
            </w:r>
          </w:p>
        </w:tc>
      </w:tr>
      <w:tr>
        <w:tc>
          <w:tcPr>
            <w:tcW w:type="dxa" w:w="3024"/>
            <w:vAlign w:val="center"/>
            <w:shd w:fill="F7F9FC"/>
          </w:tcPr>
          <w:p>
            <w:r/>
            <w:r>
              <w:rPr>
                <w:rFonts w:ascii="Aptos" w:hAnsi="Aptos"/>
                <w:b w:val="0"/>
                <w:sz w:val="17"/>
              </w:rPr>
              <w:t>custody_records</w:t>
            </w:r>
          </w:p>
        </w:tc>
        <w:tc>
          <w:tcPr>
            <w:tcW w:type="dxa" w:w="7056"/>
            <w:vAlign w:val="center"/>
            <w:shd w:fill="F7F9FC"/>
          </w:tcPr>
          <w:p>
            <w:r/>
            <w:r>
              <w:rPr>
                <w:rFonts w:ascii="Aptos" w:hAnsi="Aptos"/>
                <w:b w:val="0"/>
                <w:sz w:val="17"/>
              </w:rPr>
              <w:t>Intake, seal, storage, transfer and release data.</w:t>
            </w:r>
          </w:p>
        </w:tc>
      </w:tr>
      <w:tr>
        <w:tc>
          <w:tcPr>
            <w:tcW w:type="dxa" w:w="3024"/>
            <w:vAlign w:val="center"/>
          </w:tcPr>
          <w:p>
            <w:r/>
            <w:r>
              <w:rPr>
                <w:rFonts w:ascii="Aptos" w:hAnsi="Aptos"/>
                <w:b w:val="0"/>
                <w:sz w:val="17"/>
              </w:rPr>
              <w:t>point_ledger</w:t>
            </w:r>
          </w:p>
        </w:tc>
        <w:tc>
          <w:tcPr>
            <w:tcW w:type="dxa" w:w="7056"/>
            <w:vAlign w:val="center"/>
          </w:tcPr>
          <w:p>
            <w:r/>
            <w:r>
              <w:rPr>
                <w:rFonts w:ascii="Aptos" w:hAnsi="Aptos"/>
                <w:b w:val="0"/>
                <w:sz w:val="17"/>
              </w:rPr>
              <w:t>Immutable credit/debit entries for BakPoints.</w:t>
            </w:r>
          </w:p>
        </w:tc>
      </w:tr>
      <w:tr>
        <w:tc>
          <w:tcPr>
            <w:tcW w:type="dxa" w:w="3024"/>
            <w:vAlign w:val="center"/>
            <w:shd w:fill="F7F9FC"/>
          </w:tcPr>
          <w:p>
            <w:r/>
            <w:r>
              <w:rPr>
                <w:rFonts w:ascii="Aptos" w:hAnsi="Aptos"/>
                <w:b w:val="0"/>
                <w:sz w:val="17"/>
              </w:rPr>
              <w:t>reward_offers</w:t>
            </w:r>
          </w:p>
        </w:tc>
        <w:tc>
          <w:tcPr>
            <w:tcW w:type="dxa" w:w="7056"/>
            <w:vAlign w:val="center"/>
            <w:shd w:fill="F7F9FC"/>
          </w:tcPr>
          <w:p>
            <w:r/>
            <w:r>
              <w:rPr>
                <w:rFonts w:ascii="Aptos" w:hAnsi="Aptos"/>
                <w:b w:val="0"/>
                <w:sz w:val="17"/>
              </w:rPr>
              <w:t>Owner-funded reward terms and state.</w:t>
            </w:r>
          </w:p>
        </w:tc>
      </w:tr>
      <w:tr>
        <w:tc>
          <w:tcPr>
            <w:tcW w:type="dxa" w:w="3024"/>
            <w:vAlign w:val="center"/>
          </w:tcPr>
          <w:p>
            <w:r/>
            <w:r>
              <w:rPr>
                <w:rFonts w:ascii="Aptos" w:hAnsi="Aptos"/>
                <w:b w:val="0"/>
                <w:sz w:val="17"/>
              </w:rPr>
              <w:t>reward_transactions</w:t>
            </w:r>
          </w:p>
        </w:tc>
        <w:tc>
          <w:tcPr>
            <w:tcW w:type="dxa" w:w="7056"/>
            <w:vAlign w:val="center"/>
          </w:tcPr>
          <w:p>
            <w:r/>
            <w:r>
              <w:rPr>
                <w:rFonts w:ascii="Aptos" w:hAnsi="Aptos"/>
                <w:b w:val="0"/>
                <w:sz w:val="17"/>
              </w:rPr>
              <w:t>Payment/release/refund/reconciliation records.</w:t>
            </w:r>
          </w:p>
        </w:tc>
      </w:tr>
      <w:tr>
        <w:tc>
          <w:tcPr>
            <w:tcW w:type="dxa" w:w="3024"/>
            <w:vAlign w:val="center"/>
            <w:shd w:fill="F7F9FC"/>
          </w:tcPr>
          <w:p>
            <w:r/>
            <w:r>
              <w:rPr>
                <w:rFonts w:ascii="Aptos" w:hAnsi="Aptos"/>
                <w:b w:val="0"/>
                <w:sz w:val="17"/>
              </w:rPr>
              <w:t>reward_catalog</w:t>
            </w:r>
          </w:p>
        </w:tc>
        <w:tc>
          <w:tcPr>
            <w:tcW w:type="dxa" w:w="7056"/>
            <w:vAlign w:val="center"/>
            <w:shd w:fill="F7F9FC"/>
          </w:tcPr>
          <w:p>
            <w:r/>
            <w:r>
              <w:rPr>
                <w:rFonts w:ascii="Aptos" w:hAnsi="Aptos"/>
                <w:b w:val="0"/>
                <w:sz w:val="17"/>
              </w:rPr>
              <w:t>Partner-funded redemption inventory.</w:t>
            </w:r>
          </w:p>
        </w:tc>
      </w:tr>
      <w:tr>
        <w:tc>
          <w:tcPr>
            <w:tcW w:type="dxa" w:w="3024"/>
            <w:vAlign w:val="center"/>
          </w:tcPr>
          <w:p>
            <w:r/>
            <w:r>
              <w:rPr>
                <w:rFonts w:ascii="Aptos" w:hAnsi="Aptos"/>
                <w:b w:val="0"/>
                <w:sz w:val="17"/>
              </w:rPr>
              <w:t>redemptions</w:t>
            </w:r>
          </w:p>
        </w:tc>
        <w:tc>
          <w:tcPr>
            <w:tcW w:type="dxa" w:w="7056"/>
            <w:vAlign w:val="center"/>
          </w:tcPr>
          <w:p>
            <w:r/>
            <w:r>
              <w:rPr>
                <w:rFonts w:ascii="Aptos" w:hAnsi="Aptos"/>
                <w:b w:val="0"/>
                <w:sz w:val="17"/>
              </w:rPr>
              <w:t>BakPoints reservation/redemption lifecycle.</w:t>
            </w:r>
          </w:p>
        </w:tc>
      </w:tr>
      <w:tr>
        <w:tc>
          <w:tcPr>
            <w:tcW w:type="dxa" w:w="3024"/>
            <w:vAlign w:val="center"/>
            <w:shd w:fill="F7F9FC"/>
          </w:tcPr>
          <w:p>
            <w:r/>
            <w:r>
              <w:rPr>
                <w:rFonts w:ascii="Aptos" w:hAnsi="Aptos"/>
                <w:b w:val="0"/>
                <w:sz w:val="17"/>
              </w:rPr>
              <w:t>risk_assessments</w:t>
            </w:r>
          </w:p>
        </w:tc>
        <w:tc>
          <w:tcPr>
            <w:tcW w:type="dxa" w:w="7056"/>
            <w:vAlign w:val="center"/>
            <w:shd w:fill="F7F9FC"/>
          </w:tcPr>
          <w:p>
            <w:r/>
            <w:r>
              <w:rPr>
                <w:rFonts w:ascii="Aptos" w:hAnsi="Aptos"/>
                <w:b w:val="0"/>
                <w:sz w:val="17"/>
              </w:rPr>
              <w:t>Risk score, rules triggered and review outcome.</w:t>
            </w:r>
          </w:p>
        </w:tc>
      </w:tr>
      <w:tr>
        <w:tc>
          <w:tcPr>
            <w:tcW w:type="dxa" w:w="3024"/>
            <w:vAlign w:val="center"/>
          </w:tcPr>
          <w:p>
            <w:r/>
            <w:r>
              <w:rPr>
                <w:rFonts w:ascii="Aptos" w:hAnsi="Aptos"/>
                <w:b w:val="0"/>
                <w:sz w:val="17"/>
              </w:rPr>
              <w:t>disputes</w:t>
            </w:r>
          </w:p>
        </w:tc>
        <w:tc>
          <w:tcPr>
            <w:tcW w:type="dxa" w:w="7056"/>
            <w:vAlign w:val="center"/>
          </w:tcPr>
          <w:p>
            <w:r/>
            <w:r>
              <w:rPr>
                <w:rFonts w:ascii="Aptos" w:hAnsi="Aptos"/>
                <w:b w:val="0"/>
                <w:sz w:val="17"/>
              </w:rPr>
              <w:t>Claims, evidence, decisions and appeals.</w:t>
            </w:r>
          </w:p>
        </w:tc>
      </w:tr>
      <w:tr>
        <w:tc>
          <w:tcPr>
            <w:tcW w:type="dxa" w:w="3024"/>
            <w:vAlign w:val="center"/>
            <w:shd w:fill="F7F9FC"/>
          </w:tcPr>
          <w:p>
            <w:r/>
            <w:r>
              <w:rPr>
                <w:rFonts w:ascii="Aptos" w:hAnsi="Aptos"/>
                <w:b w:val="0"/>
                <w:sz w:val="17"/>
              </w:rPr>
              <w:t>audit_logs</w:t>
            </w:r>
          </w:p>
        </w:tc>
        <w:tc>
          <w:tcPr>
            <w:tcW w:type="dxa" w:w="7056"/>
            <w:vAlign w:val="center"/>
            <w:shd w:fill="F7F9FC"/>
          </w:tcPr>
          <w:p>
            <w:r/>
            <w:r>
              <w:rPr>
                <w:rFonts w:ascii="Aptos" w:hAnsi="Aptos"/>
                <w:b w:val="0"/>
                <w:sz w:val="17"/>
              </w:rPr>
              <w:t>Sensitive administrative/security activity.</w:t>
            </w:r>
          </w:p>
        </w:tc>
      </w:tr>
    </w:tbl>
    <w:p/>
    <w:p>
      <w:pPr>
        <w:pStyle w:val="Heading1"/>
      </w:pPr>
      <w:r>
        <w:t>20. Key APIs / Services</w:t>
      </w:r>
    </w:p>
    <w:p>
      <w:pPr>
        <w:pStyle w:val="ListBullet"/>
        <w:spacing w:after="40"/>
      </w:pPr>
      <w:r>
        <w:t>Identity &amp; Account Service — authentication, verification, roles and user status.</w:t>
      </w:r>
    </w:p>
    <w:p>
      <w:pPr>
        <w:pStyle w:val="ListBullet"/>
        <w:spacing w:after="40"/>
      </w:pPr>
      <w:r>
        <w:t>Item Service — lost/found reports, privacy-safe publication and asset registration.</w:t>
      </w:r>
    </w:p>
    <w:p>
      <w:pPr>
        <w:pStyle w:val="ListBullet"/>
        <w:spacing w:after="40"/>
      </w:pPr>
      <w:r>
        <w:t>Matching Service — candidate matching using category, text, location/time and later image/AI signals.</w:t>
      </w:r>
    </w:p>
    <w:p>
      <w:pPr>
        <w:pStyle w:val="ListBullet"/>
        <w:spacing w:after="40"/>
      </w:pPr>
      <w:r>
        <w:t>Claim &amp; Verification Service — claimant evidence and ownership workflows.</w:t>
      </w:r>
    </w:p>
    <w:p>
      <w:pPr>
        <w:pStyle w:val="ListBullet"/>
        <w:spacing w:after="40"/>
      </w:pPr>
      <w:r>
        <w:t>Recovery Service — case state machine and handover orchestration.</w:t>
      </w:r>
    </w:p>
    <w:p>
      <w:pPr>
        <w:pStyle w:val="ListBullet"/>
        <w:spacing w:after="40"/>
      </w:pPr>
      <w:r>
        <w:t>Custody Service — partner intake, seals, storage, transfers and release.</w:t>
      </w:r>
    </w:p>
    <w:p>
      <w:pPr>
        <w:pStyle w:val="ListBullet"/>
        <w:spacing w:after="40"/>
      </w:pPr>
      <w:r>
        <w:t>Trust &amp; Risk Service — fraud rules, relationship signals, scores, holds and review cases.</w:t>
      </w:r>
    </w:p>
    <w:p>
      <w:pPr>
        <w:pStyle w:val="ListBullet"/>
        <w:spacing w:after="40"/>
      </w:pPr>
      <w:r>
        <w:t>Points Ledger — append-only BakPoints credits/debits, pending/cleared/reversed states.</w:t>
      </w:r>
    </w:p>
    <w:p>
      <w:pPr>
        <w:pStyle w:val="ListBullet"/>
        <w:spacing w:after="40"/>
      </w:pPr>
      <w:r>
        <w:t>Rewards Service — owner-funded offers and partner reward catalog/redemptions.</w:t>
      </w:r>
    </w:p>
    <w:p>
      <w:pPr>
        <w:pStyle w:val="ListBullet"/>
        <w:spacing w:after="40"/>
      </w:pPr>
      <w:r>
        <w:t>Partner Service — organizations, locations, staff, tiers and dashboards.</w:t>
      </w:r>
    </w:p>
    <w:p>
      <w:pPr>
        <w:pStyle w:val="ListBullet"/>
        <w:spacing w:after="40"/>
      </w:pPr>
      <w:r>
        <w:t>Notification Service — email/SMS/push/WhatsApp where supported.</w:t>
      </w:r>
    </w:p>
    <w:p>
      <w:pPr>
        <w:pStyle w:val="ListBullet"/>
        <w:spacing w:after="40"/>
      </w:pPr>
      <w:r>
        <w:t>Admin Service — configuration, moderation, disputes, analytics and audit.</w:t>
      </w:r>
    </w:p>
    <w:p>
      <w:pPr>
        <w:pStyle w:val="Heading1"/>
      </w:pPr>
      <w:r>
        <w:t>21. MVP vs Later Phases</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14213D"/>
          </w:tcPr>
          <w:p>
            <w:r/>
            <w:r>
              <w:rPr>
                <w:rFonts w:ascii="Aptos" w:hAnsi="Aptos"/>
                <w:b/>
                <w:color w:val="FFFFFF"/>
                <w:sz w:val="18"/>
              </w:rPr>
              <w:t>Phase</w:t>
            </w:r>
          </w:p>
        </w:tc>
        <w:tc>
          <w:tcPr>
            <w:tcW w:type="dxa" w:w="8352"/>
            <w:vAlign w:val="center"/>
            <w:shd w:fill="14213D"/>
          </w:tcPr>
          <w:p>
            <w:r/>
            <w:r>
              <w:rPr>
                <w:rFonts w:ascii="Aptos" w:hAnsi="Aptos"/>
                <w:b/>
                <w:color w:val="FFFFFF"/>
                <w:sz w:val="18"/>
              </w:rPr>
              <w:t>Scope</w:t>
            </w:r>
          </w:p>
        </w:tc>
      </w:tr>
      <w:tr>
        <w:tc>
          <w:tcPr>
            <w:tcW w:type="dxa" w:w="1728"/>
            <w:vAlign w:val="center"/>
          </w:tcPr>
          <w:p>
            <w:r/>
            <w:r>
              <w:rPr>
                <w:rFonts w:ascii="Aptos" w:hAnsi="Aptos"/>
                <w:b w:val="0"/>
                <w:sz w:val="17"/>
              </w:rPr>
              <w:t>MVP</w:t>
            </w:r>
          </w:p>
        </w:tc>
        <w:tc>
          <w:tcPr>
            <w:tcW w:type="dxa" w:w="8352"/>
            <w:vAlign w:val="center"/>
          </w:tcPr>
          <w:p>
            <w:r/>
            <w:r>
              <w:rPr>
                <w:rFonts w:ascii="Aptos" w:hAnsi="Aptos"/>
                <w:b w:val="0"/>
                <w:sz w:val="17"/>
              </w:rPr>
              <w:t>Lost/found reports, matching, private chat, claims, withheld-detail ownership checks, direct returns, Recovery Point pilot, basic BakPoints ledger, rule-based fraud score, admin review, partner dashboard.</w:t>
            </w:r>
          </w:p>
        </w:tc>
      </w:tr>
      <w:tr>
        <w:tc>
          <w:tcPr>
            <w:tcW w:type="dxa" w:w="1728"/>
            <w:vAlign w:val="center"/>
            <w:shd w:fill="F7F9FC"/>
          </w:tcPr>
          <w:p>
            <w:r/>
            <w:r>
              <w:rPr>
                <w:rFonts w:ascii="Aptos" w:hAnsi="Aptos"/>
                <w:b w:val="0"/>
                <w:sz w:val="17"/>
              </w:rPr>
              <w:t>Phase 2</w:t>
            </w:r>
          </w:p>
        </w:tc>
        <w:tc>
          <w:tcPr>
            <w:tcW w:type="dxa" w:w="8352"/>
            <w:vAlign w:val="center"/>
            <w:shd w:fill="F7F9FC"/>
          </w:tcPr>
          <w:p>
            <w:r/>
            <w:r>
              <w:rPr>
                <w:rFonts w:ascii="Aptos" w:hAnsi="Aptos"/>
                <w:b w:val="0"/>
                <w:sz w:val="17"/>
              </w:rPr>
              <w:t>BakTags, tamper-evident custody kits, reward marketplace, sponsor campaigns, logistics integration, richer reputation, institutional SaaS reports.</w:t>
            </w:r>
          </w:p>
        </w:tc>
      </w:tr>
      <w:tr>
        <w:tc>
          <w:tcPr>
            <w:tcW w:type="dxa" w:w="1728"/>
            <w:vAlign w:val="center"/>
          </w:tcPr>
          <w:p>
            <w:r/>
            <w:r>
              <w:rPr>
                <w:rFonts w:ascii="Aptos" w:hAnsi="Aptos"/>
                <w:b w:val="0"/>
                <w:sz w:val="17"/>
              </w:rPr>
              <w:t>Phase 3</w:t>
            </w:r>
          </w:p>
        </w:tc>
        <w:tc>
          <w:tcPr>
            <w:tcW w:type="dxa" w:w="8352"/>
            <w:vAlign w:val="center"/>
          </w:tcPr>
          <w:p>
            <w:r/>
            <w:r>
              <w:rPr>
                <w:rFonts w:ascii="Aptos" w:hAnsi="Aptos"/>
                <w:b w:val="0"/>
                <w:sz w:val="17"/>
              </w:rPr>
              <w:t>Advanced graph/ML fraud detection, image matching, large enterprise/API integrations, second-hand asset verification/transfer, national-scale Recovery Point network.</w:t>
            </w:r>
          </w:p>
        </w:tc>
      </w:tr>
    </w:tbl>
    <w:p/>
    <w:p>
      <w:pPr>
        <w:pStyle w:val="Heading1"/>
      </w:pPr>
      <w:r>
        <w:t>22. Launch Strategy</w:t>
      </w:r>
    </w:p>
    <w:p>
      <w:r>
        <w:t>Do not begin by trying to cover every location in Ghana. Build density in a few ecosystems where lost property is frequent and custody can be controlled.</w:t>
      </w:r>
    </w:p>
    <w:p>
      <w:pPr>
        <w:pStyle w:val="ListBullet"/>
        <w:spacing w:after="40"/>
      </w:pPr>
      <w:r>
        <w:t>Pilot with one university/campus and its security desks.</w:t>
      </w:r>
    </w:p>
    <w:p>
      <w:pPr>
        <w:pStyle w:val="ListBullet"/>
        <w:spacing w:after="40"/>
      </w:pPr>
      <w:r>
        <w:t>Add one mall/retail complex or event venue.</w:t>
      </w:r>
    </w:p>
    <w:p>
      <w:pPr>
        <w:pStyle w:val="ListBullet"/>
        <w:spacing w:after="40"/>
      </w:pPr>
      <w:r>
        <w:t>Recruit selected community businesses as Recovery Points.</w:t>
      </w:r>
    </w:p>
    <w:p>
      <w:pPr>
        <w:pStyle w:val="ListBullet"/>
        <w:spacing w:after="40"/>
      </w:pPr>
      <w:r>
        <w:t>Recruit a transport/ride-hailing or delivery partner.</w:t>
      </w:r>
    </w:p>
    <w:p>
      <w:pPr>
        <w:pStyle w:val="ListBullet"/>
        <w:spacing w:after="40"/>
      </w:pPr>
      <w:r>
        <w:t>Launch one sponsor-backed 'Good Ghana' recovery campaign.</w:t>
      </w:r>
    </w:p>
    <w:p>
      <w:pPr>
        <w:pStyle w:val="ListBullet"/>
        <w:spacing w:after="40"/>
      </w:pPr>
      <w:r>
        <w:t>Measure recovery rate, time-to-match, verification failure, disputes, fraud holds and partner workload.</w:t>
      </w:r>
    </w:p>
    <w:p>
      <w:pPr>
        <w:pStyle w:val="ListBullet"/>
        <w:spacing w:after="40"/>
      </w:pPr>
      <w:r>
        <w:t>Use the pilot data to tune points, fraud thresholds and partner procedures before broad expansion.</w:t>
      </w:r>
    </w:p>
    <w:p>
      <w:pPr>
        <w:pStyle w:val="Heading1"/>
      </w:pPr>
      <w:r>
        <w:t>23. Success Metrics</w:t>
      </w:r>
    </w:p>
    <w:tbl>
      <w:tblPr>
        <w:tblStyle w:val="TableGrid"/>
        <w:tblW w:type="auto" w:w="0"/>
        <w:jc w:val="center"/>
        <w:tblLook w:firstColumn="1" w:firstRow="1" w:lastColumn="0" w:lastRow="0" w:noHBand="0" w:noVBand="1" w:val="04A0"/>
      </w:tblPr>
      <w:tblGrid>
        <w:gridCol w:w="5040"/>
        <w:gridCol w:w="5040"/>
      </w:tblGrid>
      <w:tr>
        <w:tc>
          <w:tcPr>
            <w:tcW w:type="dxa" w:w="3312"/>
            <w:vAlign w:val="center"/>
            <w:shd w:fill="14213D"/>
          </w:tcPr>
          <w:p>
            <w:r/>
            <w:r>
              <w:rPr>
                <w:rFonts w:ascii="Aptos" w:hAnsi="Aptos"/>
                <w:b/>
                <w:color w:val="FFFFFF"/>
                <w:sz w:val="18"/>
              </w:rPr>
              <w:t>Metric</w:t>
            </w:r>
          </w:p>
        </w:tc>
        <w:tc>
          <w:tcPr>
            <w:tcW w:type="dxa" w:w="6768"/>
            <w:vAlign w:val="center"/>
            <w:shd w:fill="14213D"/>
          </w:tcPr>
          <w:p>
            <w:r/>
            <w:r>
              <w:rPr>
                <w:rFonts w:ascii="Aptos" w:hAnsi="Aptos"/>
                <w:b/>
                <w:color w:val="FFFFFF"/>
                <w:sz w:val="18"/>
              </w:rPr>
              <w:t>Why it matters</w:t>
            </w:r>
          </w:p>
        </w:tc>
      </w:tr>
      <w:tr>
        <w:tc>
          <w:tcPr>
            <w:tcW w:type="dxa" w:w="3312"/>
            <w:vAlign w:val="center"/>
          </w:tcPr>
          <w:p>
            <w:r/>
            <w:r>
              <w:rPr>
                <w:rFonts w:ascii="Aptos" w:hAnsi="Aptos"/>
                <w:b w:val="0"/>
                <w:sz w:val="17"/>
              </w:rPr>
              <w:t>Verified recovery rate</w:t>
            </w:r>
          </w:p>
        </w:tc>
        <w:tc>
          <w:tcPr>
            <w:tcW w:type="dxa" w:w="6768"/>
            <w:vAlign w:val="center"/>
          </w:tcPr>
          <w:p>
            <w:r/>
            <w:r>
              <w:rPr>
                <w:rFonts w:ascii="Aptos" w:hAnsi="Aptos"/>
                <w:b w:val="0"/>
                <w:sz w:val="17"/>
              </w:rPr>
              <w:t>Primary proof that Bak2Me actually reunites owners with property.</w:t>
            </w:r>
          </w:p>
        </w:tc>
      </w:tr>
      <w:tr>
        <w:tc>
          <w:tcPr>
            <w:tcW w:type="dxa" w:w="3312"/>
            <w:vAlign w:val="center"/>
            <w:shd w:fill="F7F9FC"/>
          </w:tcPr>
          <w:p>
            <w:r/>
            <w:r>
              <w:rPr>
                <w:rFonts w:ascii="Aptos" w:hAnsi="Aptos"/>
                <w:b w:val="0"/>
                <w:sz w:val="17"/>
              </w:rPr>
              <w:t>Median time to recovery</w:t>
            </w:r>
          </w:p>
        </w:tc>
        <w:tc>
          <w:tcPr>
            <w:tcW w:type="dxa" w:w="6768"/>
            <w:vAlign w:val="center"/>
            <w:shd w:fill="F7F9FC"/>
          </w:tcPr>
          <w:p>
            <w:r/>
            <w:r>
              <w:rPr>
                <w:rFonts w:ascii="Aptos" w:hAnsi="Aptos"/>
                <w:b w:val="0"/>
                <w:sz w:val="17"/>
              </w:rPr>
              <w:t>Measures network efficiency.</w:t>
            </w:r>
          </w:p>
        </w:tc>
      </w:tr>
      <w:tr>
        <w:tc>
          <w:tcPr>
            <w:tcW w:type="dxa" w:w="3312"/>
            <w:vAlign w:val="center"/>
          </w:tcPr>
          <w:p>
            <w:r/>
            <w:r>
              <w:rPr>
                <w:rFonts w:ascii="Aptos" w:hAnsi="Aptos"/>
                <w:b w:val="0"/>
                <w:sz w:val="17"/>
              </w:rPr>
              <w:t>Recovery Point coverage/density</w:t>
            </w:r>
          </w:p>
        </w:tc>
        <w:tc>
          <w:tcPr>
            <w:tcW w:type="dxa" w:w="6768"/>
            <w:vAlign w:val="center"/>
          </w:tcPr>
          <w:p>
            <w:r/>
            <w:r>
              <w:rPr>
                <w:rFonts w:ascii="Aptos" w:hAnsi="Aptos"/>
                <w:b w:val="0"/>
                <w:sz w:val="17"/>
              </w:rPr>
              <w:t>Measures physical network defensibility.</w:t>
            </w:r>
          </w:p>
        </w:tc>
      </w:tr>
      <w:tr>
        <w:tc>
          <w:tcPr>
            <w:tcW w:type="dxa" w:w="3312"/>
            <w:vAlign w:val="center"/>
            <w:shd w:fill="F7F9FC"/>
          </w:tcPr>
          <w:p>
            <w:r/>
            <w:r>
              <w:rPr>
                <w:rFonts w:ascii="Aptos" w:hAnsi="Aptos"/>
                <w:b w:val="0"/>
                <w:sz w:val="17"/>
              </w:rPr>
              <w:t>Fraud/abuse rate</w:t>
            </w:r>
          </w:p>
        </w:tc>
        <w:tc>
          <w:tcPr>
            <w:tcW w:type="dxa" w:w="6768"/>
            <w:vAlign w:val="center"/>
            <w:shd w:fill="F7F9FC"/>
          </w:tcPr>
          <w:p>
            <w:r/>
            <w:r>
              <w:rPr>
                <w:rFonts w:ascii="Aptos" w:hAnsi="Aptos"/>
                <w:b w:val="0"/>
                <w:sz w:val="17"/>
              </w:rPr>
              <w:t>Measures sustainability of rewards.</w:t>
            </w:r>
          </w:p>
        </w:tc>
      </w:tr>
      <w:tr>
        <w:tc>
          <w:tcPr>
            <w:tcW w:type="dxa" w:w="3312"/>
            <w:vAlign w:val="center"/>
          </w:tcPr>
          <w:p>
            <w:r/>
            <w:r>
              <w:rPr>
                <w:rFonts w:ascii="Aptos" w:hAnsi="Aptos"/>
                <w:b w:val="0"/>
                <w:sz w:val="17"/>
              </w:rPr>
              <w:t>False-claim / ownership failure rate</w:t>
            </w:r>
          </w:p>
        </w:tc>
        <w:tc>
          <w:tcPr>
            <w:tcW w:type="dxa" w:w="6768"/>
            <w:vAlign w:val="center"/>
          </w:tcPr>
          <w:p>
            <w:r/>
            <w:r>
              <w:rPr>
                <w:rFonts w:ascii="Aptos" w:hAnsi="Aptos"/>
                <w:b w:val="0"/>
                <w:sz w:val="17"/>
              </w:rPr>
              <w:t>Measures verification quality.</w:t>
            </w:r>
          </w:p>
        </w:tc>
      </w:tr>
      <w:tr>
        <w:tc>
          <w:tcPr>
            <w:tcW w:type="dxa" w:w="3312"/>
            <w:vAlign w:val="center"/>
            <w:shd w:fill="F7F9FC"/>
          </w:tcPr>
          <w:p>
            <w:r/>
            <w:r>
              <w:rPr>
                <w:rFonts w:ascii="Aptos" w:hAnsi="Aptos"/>
                <w:b w:val="0"/>
                <w:sz w:val="17"/>
              </w:rPr>
              <w:t>Partner retention &amp; active staff</w:t>
            </w:r>
          </w:p>
        </w:tc>
        <w:tc>
          <w:tcPr>
            <w:tcW w:type="dxa" w:w="6768"/>
            <w:vAlign w:val="center"/>
            <w:shd w:fill="F7F9FC"/>
          </w:tcPr>
          <w:p>
            <w:r/>
            <w:r>
              <w:rPr>
                <w:rFonts w:ascii="Aptos" w:hAnsi="Aptos"/>
                <w:b w:val="0"/>
                <w:sz w:val="17"/>
              </w:rPr>
              <w:t>Measures B2B value.</w:t>
            </w:r>
          </w:p>
        </w:tc>
      </w:tr>
      <w:tr>
        <w:tc>
          <w:tcPr>
            <w:tcW w:type="dxa" w:w="3312"/>
            <w:vAlign w:val="center"/>
          </w:tcPr>
          <w:p>
            <w:r/>
            <w:r>
              <w:rPr>
                <w:rFonts w:ascii="Aptos" w:hAnsi="Aptos"/>
                <w:b w:val="0"/>
                <w:sz w:val="17"/>
              </w:rPr>
              <w:t>BakPoints redemption rate</w:t>
            </w:r>
          </w:p>
        </w:tc>
        <w:tc>
          <w:tcPr>
            <w:tcW w:type="dxa" w:w="6768"/>
            <w:vAlign w:val="center"/>
          </w:tcPr>
          <w:p>
            <w:r/>
            <w:r>
              <w:rPr>
                <w:rFonts w:ascii="Aptos" w:hAnsi="Aptos"/>
                <w:b w:val="0"/>
                <w:sz w:val="17"/>
              </w:rPr>
              <w:t>Measures usefulness of the reward economy.</w:t>
            </w:r>
          </w:p>
        </w:tc>
      </w:tr>
      <w:tr>
        <w:tc>
          <w:tcPr>
            <w:tcW w:type="dxa" w:w="3312"/>
            <w:vAlign w:val="center"/>
            <w:shd w:fill="F7F9FC"/>
          </w:tcPr>
          <w:p>
            <w:r/>
            <w:r>
              <w:rPr>
                <w:rFonts w:ascii="Aptos" w:hAnsi="Aptos"/>
                <w:b w:val="0"/>
                <w:sz w:val="17"/>
              </w:rPr>
              <w:t>Dispute rate</w:t>
            </w:r>
          </w:p>
        </w:tc>
        <w:tc>
          <w:tcPr>
            <w:tcW w:type="dxa" w:w="6768"/>
            <w:vAlign w:val="center"/>
            <w:shd w:fill="F7F9FC"/>
          </w:tcPr>
          <w:p>
            <w:r/>
            <w:r>
              <w:rPr>
                <w:rFonts w:ascii="Aptos" w:hAnsi="Aptos"/>
                <w:b w:val="0"/>
                <w:sz w:val="17"/>
              </w:rPr>
              <w:t>Measures trust and operational quality.</w:t>
            </w:r>
          </w:p>
        </w:tc>
      </w:tr>
      <w:tr>
        <w:tc>
          <w:tcPr>
            <w:tcW w:type="dxa" w:w="3312"/>
            <w:vAlign w:val="center"/>
          </w:tcPr>
          <w:p>
            <w:r/>
            <w:r>
              <w:rPr>
                <w:rFonts w:ascii="Aptos" w:hAnsi="Aptos"/>
                <w:b w:val="0"/>
                <w:sz w:val="17"/>
              </w:rPr>
              <w:t>Cost per verified recovery</w:t>
            </w:r>
          </w:p>
        </w:tc>
        <w:tc>
          <w:tcPr>
            <w:tcW w:type="dxa" w:w="6768"/>
            <w:vAlign w:val="center"/>
          </w:tcPr>
          <w:p>
            <w:r/>
            <w:r>
              <w:rPr>
                <w:rFonts w:ascii="Aptos" w:hAnsi="Aptos"/>
                <w:b w:val="0"/>
                <w:sz w:val="17"/>
              </w:rPr>
              <w:t>Critical unit-economics metric.</w:t>
            </w:r>
          </w:p>
        </w:tc>
      </w:tr>
      <w:tr>
        <w:tc>
          <w:tcPr>
            <w:tcW w:type="dxa" w:w="3312"/>
            <w:vAlign w:val="center"/>
            <w:shd w:fill="F7F9FC"/>
          </w:tcPr>
          <w:p>
            <w:r/>
            <w:r>
              <w:rPr>
                <w:rFonts w:ascii="Aptos" w:hAnsi="Aptos"/>
                <w:b w:val="0"/>
                <w:sz w:val="17"/>
              </w:rPr>
              <w:t>Sponsor/partner-funded reward share</w:t>
            </w:r>
          </w:p>
        </w:tc>
        <w:tc>
          <w:tcPr>
            <w:tcW w:type="dxa" w:w="6768"/>
            <w:vAlign w:val="center"/>
            <w:shd w:fill="F7F9FC"/>
          </w:tcPr>
          <w:p>
            <w:r/>
            <w:r>
              <w:rPr>
                <w:rFonts w:ascii="Aptos" w:hAnsi="Aptos"/>
                <w:b w:val="0"/>
                <w:sz w:val="17"/>
              </w:rPr>
              <w:t>Measures ability to reward users without Bak2Me funding everything.</w:t>
            </w:r>
          </w:p>
        </w:tc>
      </w:tr>
    </w:tbl>
    <w:p/>
    <w:p>
      <w:pPr>
        <w:pStyle w:val="Heading1"/>
      </w:pPr>
      <w:r>
        <w:t>24. Product Principles / Non-Negotiables</w:t>
      </w:r>
    </w:p>
    <w:p>
      <w:pPr>
        <w:pStyle w:val="ListBullet"/>
        <w:spacing w:after="40"/>
      </w:pPr>
      <w:r>
        <w:t>Privacy by default: never expose unnecessary owner or finder contact details.</w:t>
      </w:r>
    </w:p>
    <w:p>
      <w:pPr>
        <w:pStyle w:val="ListBullet"/>
        <w:spacing w:after="40"/>
      </w:pPr>
      <w:r>
        <w:t>A match is not proof of ownership.</w:t>
      </w:r>
    </w:p>
    <w:p>
      <w:pPr>
        <w:pStyle w:val="ListBullet"/>
        <w:spacing w:after="40"/>
      </w:pPr>
      <w:r>
        <w:t>Identity verification is not proof of ownership; combine evidence.</w:t>
      </w:r>
    </w:p>
    <w:p>
      <w:pPr>
        <w:pStyle w:val="ListBullet"/>
        <w:spacing w:after="40"/>
      </w:pPr>
      <w:r>
        <w:t>No substantial reward from two-party self-confirmation alone.</w:t>
      </w:r>
    </w:p>
    <w:p>
      <w:pPr>
        <w:pStyle w:val="ListBullet"/>
        <w:spacing w:after="40"/>
      </w:pPr>
      <w:r>
        <w:t>Critical custody and ledger events should be append-oriented and auditable.</w:t>
      </w:r>
    </w:p>
    <w:p>
      <w:pPr>
        <w:pStyle w:val="ListBullet"/>
        <w:spacing w:after="40"/>
      </w:pPr>
      <w:r>
        <w:t>Points, Trust Score and cash rewards are separate concepts.</w:t>
      </w:r>
    </w:p>
    <w:p>
      <w:pPr>
        <w:pStyle w:val="ListBullet"/>
        <w:spacing w:after="40"/>
      </w:pPr>
      <w:r>
        <w:t>Partner staff cannot silently alter custody history.</w:t>
      </w:r>
    </w:p>
    <w:p>
      <w:pPr>
        <w:pStyle w:val="ListBullet"/>
        <w:spacing w:after="40"/>
      </w:pPr>
      <w:r>
        <w:t>Every reward rule and threshold should be centrally configurable.</w:t>
      </w:r>
    </w:p>
    <w:p>
      <w:pPr>
        <w:pStyle w:val="ListBullet"/>
        <w:spacing w:after="40"/>
      </w:pPr>
      <w:r>
        <w:t>Fraud controls must protect the system without punishing legitimate high-volume institutional finders.</w:t>
      </w:r>
    </w:p>
    <w:p>
      <w:pPr>
        <w:pStyle w:val="ListBullet"/>
        <w:spacing w:after="40"/>
      </w:pPr>
      <w:r>
        <w:t>Human review remains available for high-risk or disputed cases.</w:t>
      </w:r>
    </w:p>
    <w:p>
      <w:pPr>
        <w:pStyle w:val="Heading1"/>
      </w:pPr>
      <w:r>
        <w:t>25. Competitive Validation &amp; References</w:t>
      </w:r>
    </w:p>
    <w:p>
      <w:r>
        <w:t>The design direction is supported by patterns already visible in the market: PatikaLink describes AI matching, ownership verification, QR tracking, finder appreciation and organization dashboards; LostAndFound.com documents claims, reputation, identity-verification and reward workflows; Where is Mine and LostAndFound.io emphasize withheld identifying details and privacy-safe communication; Rekovr combines ownership verification with built-in rewards. Bak2Me's differentiation should be the integrated Ghana-focused physical Recovery Point network, BakPoints economy, partner incentives, chain of custody and anti-collusion engine.</w:t>
      </w:r>
    </w:p>
    <w:p>
      <w:pPr>
        <w:pStyle w:val="ListBullet"/>
      </w:pPr>
      <w:r>
        <w:t>PatikaLink — Africa's Lost &amp; Found: https://patikalink.com/</w:t>
      </w:r>
    </w:p>
    <w:p>
      <w:pPr>
        <w:pStyle w:val="ListBullet"/>
      </w:pPr>
      <w:r>
        <w:t>LostAndFound.com — User Agreement (2026): https://lostandfound.com/usersagreement</w:t>
      </w:r>
    </w:p>
    <w:p>
      <w:pPr>
        <w:pStyle w:val="ListBullet"/>
      </w:pPr>
      <w:r>
        <w:t>Where is Mine — How It Works: https://www.whereismine.org/how-it-works</w:t>
      </w:r>
    </w:p>
    <w:p>
      <w:pPr>
        <w:pStyle w:val="ListBullet"/>
      </w:pPr>
      <w:r>
        <w:t>Rekovr — Lost &amp; Found Platform: https://www.rekovr.ai/</w:t>
      </w:r>
    </w:p>
    <w:p>
      <w:pPr>
        <w:pStyle w:val="ListBullet"/>
      </w:pPr>
      <w:r>
        <w:t>LostAndFound.io — How It Works: https://lostandfound.io/how-it-works</w:t>
      </w:r>
    </w:p>
    <w:p>
      <w:pPr>
        <w:pStyle w:val="Heading1"/>
      </w:pPr>
      <w:r>
        <w:t>26. Recommended Product Positioning</w:t>
      </w:r>
    </w:p>
    <w:p>
      <w:pPr>
        <w:jc w:val="center"/>
      </w:pPr>
      <w:r>
        <w:rPr>
          <w:b/>
          <w:color w:val="1F5EFF"/>
          <w:sz w:val="32"/>
        </w:rPr>
        <w:t>Bak2Me — Ghana's trusted property recovery network.</w:t>
      </w:r>
    </w:p>
    <w:p>
      <w:r>
        <w:t>The moat is not merely the listing interface or AI matching. It is the combination of users, BakPoints, Trust Scores, BakTags, Recovery Points, partner relationships, custody history, fraud intelligence, institutional dashboards and a rewards marketplace.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472"/>
        <w:sz w:val="16"/>
      </w:rPr>
      <w:t>Bak2Me • Product &amp; Engineering Specification • Confidential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213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5EF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68C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213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