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NOSI Preparation &amp; Early-Mover Strategy</w:t>
      </w:r>
    </w:p>
    <w:p>
      <w:pPr>
        <w:jc w:val="center"/>
      </w:pPr>
      <w:r>
        <w:rPr>
          <w:i/>
          <w:sz w:val="24"/>
        </w:rPr>
        <w:t>How Neurodyne prepares before Ghana's interoperability and open-data ecosystem fully opens</w:t>
      </w:r>
    </w:p>
    <w:p>
      <w:pPr>
        <w:jc w:val="center"/>
      </w:pPr>
      <w:r>
        <w:rPr>
          <w:b/>
        </w:rPr>
        <w:t>Neurodyne Open Standards Initiative (NOSI) | August 2026</w:t>
      </w:r>
    </w:p>
    <w:p/>
    <w:p>
      <w:pPr>
        <w:pStyle w:val="Heading1"/>
      </w:pPr>
      <w:r>
        <w:t>Executive Summary</w:t>
      </w:r>
    </w:p>
    <w:p>
      <w:r>
        <w:t>Ghana is moving toward a more interoperable digital state. The Bank of Ghana published a Draft Open Banking Directive on 21 August 2026, while NITA's Data Harmonisation framework explicitly contemplates standardised APIs, interoperability, reuse and a National Data Exchange Platform. NOSI should prepare to become an independent, open-source developer layer that makes emerging standards easier to understand, implement, test and consume - without claiming to be an official government standard.</w:t>
      </w:r>
    </w:p>
    <w:p>
      <w:r>
        <w:t>The preparation phase is therefore not 'build a giant gateway immediately'. It is: understand authoritative standards, establish provenance and governance, model canonical data carefully, create institutional relationships, build credibility in public, and make Neurodyne technically ready to connect to authorised providers when access becomes available.</w:t>
      </w:r>
    </w:p>
    <w:p>
      <w:pPr>
        <w:pStyle w:val="Heading1"/>
      </w:pPr>
      <w:r>
        <w:t>1. Strategic Positioning</w:t>
      </w:r>
    </w:p>
    <w:p>
      <w:pPr>
        <w:pStyle w:val="ListBullet"/>
      </w:pPr>
      <w:r>
        <w:t>Position NOSI as an independent open-source reference implementation and developer-tooling ecosystem.</w:t>
      </w:r>
    </w:p>
    <w:p>
      <w:pPr>
        <w:pStyle w:val="ListBullet"/>
      </w:pPr>
      <w:r>
        <w:t>Never imply NITA, BoG, NIA, GhIPSS, GRA, ORC or another institution has endorsed NOSI unless written approval exists.</w:t>
      </w:r>
    </w:p>
    <w:p>
      <w:pPr>
        <w:pStyle w:val="ListBullet"/>
      </w:pPr>
      <w:r>
        <w:t>Use labels such as reference, experimental, community or unofficial for pre-recognition artifacts.</w:t>
      </w:r>
    </w:p>
    <w:p>
      <w:pPr>
        <w:pStyle w:val="ListBullet"/>
      </w:pPr>
      <w:r>
        <w:t>Treat government/regulator specifications as upstream authority; NOSI translates them into developer-friendly schemas, SDKs, tests and adapters.</w:t>
      </w:r>
    </w:p>
    <w:p>
      <w:pPr>
        <w:pStyle w:val="ListBullet"/>
      </w:pPr>
      <w:r>
        <w:t>Optimize for Ghana first, but keep country-specific behavior behind adapters so the core model can later support other African markets.</w:t>
      </w:r>
    </w:p>
    <w:p>
      <w:pPr>
        <w:pStyle w:val="Heading1"/>
      </w:pPr>
      <w:r>
        <w:t>2. What We Are Preparing For</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Signal</w:t>
            </w:r>
          </w:p>
        </w:tc>
        <w:tc>
          <w:tcPr>
            <w:tcW w:type="dxa" w:w="4968"/>
            <w:shd w:fill="D9EAF7"/>
          </w:tcPr>
          <w:p>
            <w:r>
              <w:rPr>
                <w:b/>
              </w:rPr>
              <w:t>What it means for NOSI</w:t>
            </w:r>
          </w:p>
        </w:tc>
      </w:tr>
      <w:tr>
        <w:tc>
          <w:tcPr>
            <w:tcW w:type="dxa" w:w="4968"/>
            <w:vAlign w:val="center"/>
          </w:tcPr>
          <w:p>
            <w:r>
              <w:t>BoG Open Banking / OpenDX</w:t>
            </w:r>
          </w:p>
        </w:tc>
        <w:tc>
          <w:tcPr>
            <w:tcW w:type="dxa" w:w="4968"/>
            <w:vAlign w:val="center"/>
          </w:tcPr>
          <w:p>
            <w:r>
              <w:t>Financial-data sharing will need consent, security, common interfaces and implementable developer contracts.</w:t>
            </w:r>
          </w:p>
        </w:tc>
      </w:tr>
      <w:tr>
        <w:tc>
          <w:tcPr>
            <w:tcW w:type="dxa" w:w="4968"/>
            <w:vAlign w:val="center"/>
          </w:tcPr>
          <w:p>
            <w:r>
              <w:t>National Data Exchange Platform</w:t>
            </w:r>
          </w:p>
        </w:tc>
        <w:tc>
          <w:tcPr>
            <w:tcW w:type="dxa" w:w="4968"/>
            <w:vAlign w:val="center"/>
          </w:tcPr>
          <w:p>
            <w:r>
              <w:t>Public-interest data exchange is moving toward machine-readable, standardised APIs and onboarding of providers/consumers.</w:t>
            </w:r>
          </w:p>
        </w:tc>
      </w:tr>
      <w:tr>
        <w:tc>
          <w:tcPr>
            <w:tcW w:type="dxa" w:w="4968"/>
            <w:vAlign w:val="center"/>
          </w:tcPr>
          <w:p>
            <w:r>
              <w:t>Data harmonisation</w:t>
            </w:r>
          </w:p>
        </w:tc>
        <w:tc>
          <w:tcPr>
            <w:tcW w:type="dxa" w:w="4968"/>
            <w:vAlign w:val="center"/>
          </w:tcPr>
          <w:p>
            <w:r>
              <w:t>Canonical definitions, classifications and reusable data models become strategically important.</w:t>
            </w:r>
          </w:p>
        </w:tc>
      </w:tr>
      <w:tr>
        <w:tc>
          <w:tcPr>
            <w:tcW w:type="dxa" w:w="4968"/>
            <w:vAlign w:val="center"/>
          </w:tcPr>
          <w:p>
            <w:r>
              <w:t>Ghana.gov redesign</w:t>
            </w:r>
          </w:p>
        </w:tc>
        <w:tc>
          <w:tcPr>
            <w:tcW w:type="dxa" w:w="4968"/>
            <w:vAlign w:val="center"/>
          </w:tcPr>
          <w:p>
            <w:r>
              <w:t>Joined-up citizen services increase the value of interoperable identity, business and service data.</w:t>
            </w:r>
          </w:p>
        </w:tc>
      </w:tr>
      <w:tr>
        <w:tc>
          <w:tcPr>
            <w:tcW w:type="dxa" w:w="4968"/>
            <w:vAlign w:val="center"/>
          </w:tcPr>
          <w:p>
            <w:r>
              <w:t>Sector digitisation</w:t>
            </w:r>
          </w:p>
        </w:tc>
        <w:tc>
          <w:tcPr>
            <w:tcW w:type="dxa" w:w="4968"/>
            <w:vAlign w:val="center"/>
          </w:tcPr>
          <w:p>
            <w:r>
              <w:t>Health, statistics and other sectors create domain-specific opportunities for schemas and conformance tooling.</w:t>
            </w:r>
          </w:p>
        </w:tc>
      </w:tr>
    </w:tbl>
    <w:p>
      <w:pPr>
        <w:pStyle w:val="Heading1"/>
      </w:pPr>
      <w:r>
        <w:t>3. Preparation Workstreams</w:t>
      </w:r>
    </w:p>
    <w:p>
      <w:pPr>
        <w:pStyle w:val="Heading2"/>
      </w:pPr>
      <w:r>
        <w:t>3.1 Regulatory &amp; Standards Intelligence</w:t>
      </w:r>
    </w:p>
    <w:p>
      <w:r>
        <w:t>Create a living standards intelligence function rather than reading documents once.</w:t>
      </w:r>
    </w:p>
    <w:p>
      <w:pPr>
        <w:pStyle w:val="ListBullet"/>
      </w:pPr>
      <w:r>
        <w:t>Track BoG directives, NITA bills/frameworks, eGIF, Data Protection requirements, Cyber Security requirements and sector standards.</w:t>
      </w:r>
    </w:p>
    <w:p>
      <w:pPr>
        <w:pStyle w:val="ListBullet"/>
      </w:pPr>
      <w:r>
        <w:t>Maintain a change log: source, publication date, status (draft/final), affected NOSI objects, implementation impact.</w:t>
      </w:r>
    </w:p>
    <w:p>
      <w:pPr>
        <w:pStyle w:val="ListBullet"/>
      </w:pPr>
      <w:r>
        <w:t>Separate legal requirements from technical recommendations and from NOSI design choices.</w:t>
      </w:r>
    </w:p>
    <w:p>
      <w:pPr>
        <w:pStyle w:val="Heading2"/>
      </w:pPr>
      <w:r>
        <w:t>3.2 Institutional Map</w:t>
      </w:r>
    </w:p>
    <w:p>
      <w:r>
        <w:t>Map who owns each authoritative domain and who can legitimately grant access.</w:t>
      </w:r>
    </w:p>
    <w:p>
      <w:pPr>
        <w:pStyle w:val="ListBullet"/>
      </w:pPr>
      <w:r>
        <w:t>Identity: NIA and authorised verification channels.</w:t>
      </w:r>
    </w:p>
    <w:p>
      <w:pPr>
        <w:pStyle w:val="ListBullet"/>
      </w:pPr>
      <w:r>
        <w:t>Financial data: BoG-regulated institutions/OpenDX ecosystem.</w:t>
      </w:r>
    </w:p>
    <w:p>
      <w:pPr>
        <w:pStyle w:val="ListBullet"/>
      </w:pPr>
      <w:r>
        <w:t>Payments: GhIPSS, PSPs, DEMIs and banks as applicable.</w:t>
      </w:r>
    </w:p>
    <w:p>
      <w:pPr>
        <w:pStyle w:val="ListBullet"/>
      </w:pPr>
      <w:r>
        <w:t>Business: ORC; tax: GRA; social security: SSNIT; other registries by statutory owner.</w:t>
      </w:r>
    </w:p>
    <w:p>
      <w:pPr>
        <w:pStyle w:val="ListBullet"/>
      </w:pPr>
      <w:r>
        <w:t>For each institution record: mandate, public docs, technical contact route, access model, sandbox availability, legal restrictions.</w:t>
      </w:r>
    </w:p>
    <w:p>
      <w:pPr>
        <w:pStyle w:val="Heading2"/>
      </w:pPr>
      <w:r>
        <w:t>3.3 Provenance &amp; Traceability</w:t>
      </w:r>
    </w:p>
    <w:p>
      <w:r>
        <w:t>Every canonical field must be explainable.</w:t>
      </w:r>
    </w:p>
    <w:p>
      <w:pPr>
        <w:pStyle w:val="ListBullet"/>
      </w:pPr>
      <w:r>
        <w:t>Create a public source ledger in nosi-specs.</w:t>
      </w:r>
    </w:p>
    <w:p>
      <w:pPr>
        <w:pStyle w:val="ListBullet"/>
      </w:pPr>
      <w:r>
        <w:t>For every schema: authority, source document, source version/date, NOSI interpretation, status and reviewer.</w:t>
      </w:r>
    </w:p>
    <w:p>
      <w:pPr>
        <w:pStyle w:val="ListBullet"/>
      </w:pPr>
      <w:r>
        <w:t>Create a traceability matrix from source requirement -&gt; NOSI schema/API/test.</w:t>
      </w:r>
    </w:p>
    <w:p>
      <w:pPr>
        <w:pStyle w:val="ListBullet"/>
      </w:pPr>
      <w:r>
        <w:t>Never invent provider behavior and present it as authoritative.</w:t>
      </w:r>
    </w:p>
    <w:p>
      <w:pPr>
        <w:pStyle w:val="Heading2"/>
      </w:pPr>
      <w:r>
        <w:t>3.4 Governance Before Code</w:t>
      </w:r>
    </w:p>
    <w:p>
      <w:r>
        <w:t>Make the standard trustworthy before it becomes popular.</w:t>
      </w:r>
    </w:p>
    <w:p>
      <w:pPr>
        <w:pStyle w:val="ListBullet"/>
      </w:pPr>
      <w:r>
        <w:t>Publish CONTRIBUTING.md, GOVERNANCE.md, SECURITY.md, CODE_OF_CONDUCT.md and RFC process.</w:t>
      </w:r>
    </w:p>
    <w:p>
      <w:pPr>
        <w:pStyle w:val="ListBullet"/>
      </w:pPr>
      <w:r>
        <w:t>Use semantic versioning and explicit deprecation policy.</w:t>
      </w:r>
    </w:p>
    <w:p>
      <w:pPr>
        <w:pStyle w:val="ListBullet"/>
      </w:pPr>
      <w:r>
        <w:t>Require review for breaking schema changes.</w:t>
      </w:r>
    </w:p>
    <w:p>
      <w:pPr>
        <w:pStyle w:val="ListBullet"/>
      </w:pPr>
      <w:r>
        <w:t>Create a Technical Steering model that can later include universities, industry and institutional observers.</w:t>
      </w:r>
    </w:p>
    <w:p>
      <w:pPr>
        <w:pStyle w:val="Heading2"/>
      </w:pPr>
      <w:r>
        <w:t>3.5 Legal, Privacy &amp; Security Readiness</w:t>
      </w:r>
    </w:p>
    <w:p>
      <w:r>
        <w:t>NOSI will touch high-trust domains, so privacy and security cannot be an afterthought.</w:t>
      </w:r>
    </w:p>
    <w:p>
      <w:pPr>
        <w:pStyle w:val="ListBullet"/>
      </w:pPr>
      <w:r>
        <w:t>Data minimisation and purpose limitation by default.</w:t>
      </w:r>
    </w:p>
    <w:p>
      <w:pPr>
        <w:pStyle w:val="ListBullet"/>
      </w:pPr>
      <w:r>
        <w:t>No production personal/financial data in public demos or test fixtures.</w:t>
      </w:r>
    </w:p>
    <w:p>
      <w:pPr>
        <w:pStyle w:val="ListBullet"/>
      </w:pPr>
      <w:r>
        <w:t>Synthetic sandbox identities/accounts/transactions.</w:t>
      </w:r>
    </w:p>
    <w:p>
      <w:pPr>
        <w:pStyle w:val="ListBullet"/>
      </w:pPr>
      <w:r>
        <w:t>Threat-model consent, credential theft, replay, webhook spoofing, tenant isolation and audit-log tampering.</w:t>
      </w:r>
    </w:p>
    <w:p>
      <w:pPr>
        <w:pStyle w:val="ListBullet"/>
      </w:pPr>
      <w:r>
        <w:t>Obtain Ghanaian legal/regulatory review before offering regulated production connectivity.</w:t>
      </w:r>
    </w:p>
    <w:p>
      <w:pPr>
        <w:pStyle w:val="Heading2"/>
      </w:pPr>
      <w:r>
        <w:t>3.6 Institutional Relationships</w:t>
      </w:r>
    </w:p>
    <w:p>
      <w:r>
        <w:t>The goal is legitimacy through collaboration, not reverse-engineering government systems.</w:t>
      </w:r>
    </w:p>
    <w:p>
      <w:pPr>
        <w:pStyle w:val="ListBullet"/>
      </w:pPr>
      <w:r>
        <w:t>Prepare a concise NOSI briefing deck and technical demo.</w:t>
      </w:r>
    </w:p>
    <w:p>
      <w:pPr>
        <w:pStyle w:val="ListBullet"/>
      </w:pPr>
      <w:r>
        <w:t>Request technical conversations with NITA/BoG and relevant institutions.</w:t>
      </w:r>
    </w:p>
    <w:p>
      <w:pPr>
        <w:pStyle w:val="ListBullet"/>
      </w:pPr>
      <w:r>
        <w:t>Offer conformance tooling and reference implementations as public-good infrastructure.</w:t>
      </w:r>
    </w:p>
    <w:p>
      <w:pPr>
        <w:pStyle w:val="ListBullet"/>
      </w:pPr>
      <w:r>
        <w:t>Participate in consultations and standards discussions where open.</w:t>
      </w:r>
    </w:p>
    <w:p>
      <w:pPr>
        <w:pStyle w:val="ListBullet"/>
      </w:pPr>
      <w:r>
        <w:t>Document feedback and convert accepted guidance into RFCs.</w:t>
      </w:r>
    </w:p>
    <w:p>
      <w:pPr>
        <w:pStyle w:val="Heading1"/>
      </w:pPr>
      <w:r>
        <w:t>4. GitHub Preparation</w:t>
      </w:r>
    </w:p>
    <w:p>
      <w:r>
        <w:t>Reserve the repository namespace early and keep responsibilities narrow:</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Repository</w:t>
            </w:r>
          </w:p>
        </w:tc>
        <w:tc>
          <w:tcPr>
            <w:tcW w:type="dxa" w:w="3312"/>
            <w:shd w:fill="D9EAF7"/>
          </w:tcPr>
          <w:p>
            <w:r>
              <w:rPr>
                <w:b/>
              </w:rPr>
              <w:t>Purpose</w:t>
            </w:r>
          </w:p>
        </w:tc>
        <w:tc>
          <w:tcPr>
            <w:tcW w:type="dxa" w:w="3312"/>
            <w:shd w:fill="D9EAF7"/>
          </w:tcPr>
          <w:p>
            <w:r>
              <w:rPr>
                <w:b/>
              </w:rPr>
              <w:t>Initial status</w:t>
            </w:r>
          </w:p>
        </w:tc>
      </w:tr>
      <w:tr>
        <w:tc>
          <w:tcPr>
            <w:tcW w:type="dxa" w:w="3312"/>
            <w:vAlign w:val="center"/>
          </w:tcPr>
          <w:p>
            <w:r>
              <w:t>nosi-specs</w:t>
            </w:r>
          </w:p>
        </w:tc>
        <w:tc>
          <w:tcPr>
            <w:tcW w:type="dxa" w:w="3312"/>
            <w:vAlign w:val="center"/>
          </w:tcPr>
          <w:p>
            <w:r>
              <w:t>Canonical schemas, OpenAPI/AsyncAPI contracts, identifiers, metadata, provenance and RFCs</w:t>
            </w:r>
          </w:p>
        </w:tc>
        <w:tc>
          <w:tcPr>
            <w:tcW w:type="dxa" w:w="3312"/>
            <w:vAlign w:val="center"/>
          </w:tcPr>
          <w:p>
            <w:r>
              <w:t>Build first</w:t>
            </w:r>
          </w:p>
        </w:tc>
      </w:tr>
      <w:tr>
        <w:tc>
          <w:tcPr>
            <w:tcW w:type="dxa" w:w="3312"/>
            <w:vAlign w:val="center"/>
          </w:tcPr>
          <w:p>
            <w:r>
              <w:t>nosi-go</w:t>
            </w:r>
          </w:p>
        </w:tc>
        <w:tc>
          <w:tcPr>
            <w:tcW w:type="dxa" w:w="3312"/>
            <w:vAlign w:val="center"/>
          </w:tcPr>
          <w:p>
            <w:r>
              <w:t>Go SDK and generated/handwritten domain types</w:t>
            </w:r>
          </w:p>
        </w:tc>
        <w:tc>
          <w:tcPr>
            <w:tcW w:type="dxa" w:w="3312"/>
            <w:vAlign w:val="center"/>
          </w:tcPr>
          <w:p>
            <w:r>
              <w:t>Build after core specs</w:t>
            </w:r>
          </w:p>
        </w:tc>
      </w:tr>
      <w:tr>
        <w:tc>
          <w:tcPr>
            <w:tcW w:type="dxa" w:w="3312"/>
            <w:vAlign w:val="center"/>
          </w:tcPr>
          <w:p>
            <w:r>
              <w:t>nosi-typescript</w:t>
            </w:r>
          </w:p>
        </w:tc>
        <w:tc>
          <w:tcPr>
            <w:tcW w:type="dxa" w:w="3312"/>
            <w:vAlign w:val="center"/>
          </w:tcPr>
          <w:p>
            <w:r>
              <w:t>TypeScript SDK for browser/server developers</w:t>
            </w:r>
          </w:p>
        </w:tc>
        <w:tc>
          <w:tcPr>
            <w:tcW w:type="dxa" w:w="3312"/>
            <w:vAlign w:val="center"/>
          </w:tcPr>
          <w:p>
            <w:r>
              <w:t>Build after core specs</w:t>
            </w:r>
          </w:p>
        </w:tc>
      </w:tr>
      <w:tr>
        <w:tc>
          <w:tcPr>
            <w:tcW w:type="dxa" w:w="3312"/>
            <w:vAlign w:val="center"/>
          </w:tcPr>
          <w:p>
            <w:r>
              <w:t>nosi-java / nosi-python</w:t>
            </w:r>
          </w:p>
        </w:tc>
        <w:tc>
          <w:tcPr>
            <w:tcW w:type="dxa" w:w="3312"/>
            <w:vAlign w:val="center"/>
          </w:tcPr>
          <w:p>
            <w:r>
              <w:t>Additional ecosystem SDKs</w:t>
            </w:r>
          </w:p>
        </w:tc>
        <w:tc>
          <w:tcPr>
            <w:tcW w:type="dxa" w:w="3312"/>
            <w:vAlign w:val="center"/>
          </w:tcPr>
          <w:p>
            <w:r>
              <w:t>Later</w:t>
            </w:r>
          </w:p>
        </w:tc>
      </w:tr>
      <w:tr>
        <w:tc>
          <w:tcPr>
            <w:tcW w:type="dxa" w:w="3312"/>
            <w:vAlign w:val="center"/>
          </w:tcPr>
          <w:p>
            <w:r>
              <w:t>nosi-cli</w:t>
            </w:r>
          </w:p>
        </w:tc>
        <w:tc>
          <w:tcPr>
            <w:tcW w:type="dxa" w:w="3312"/>
            <w:vAlign w:val="center"/>
          </w:tcPr>
          <w:p>
            <w:r>
              <w:t>Validate, generate, inspect, test and scaffold integrations</w:t>
            </w:r>
          </w:p>
        </w:tc>
        <w:tc>
          <w:tcPr>
            <w:tcW w:type="dxa" w:w="3312"/>
            <w:vAlign w:val="center"/>
          </w:tcPr>
          <w:p>
            <w:r>
              <w:t>Phase 2</w:t>
            </w:r>
          </w:p>
        </w:tc>
      </w:tr>
      <w:tr>
        <w:tc>
          <w:tcPr>
            <w:tcW w:type="dxa" w:w="3312"/>
            <w:vAlign w:val="center"/>
          </w:tcPr>
          <w:p>
            <w:r>
              <w:t>nosi-mock</w:t>
            </w:r>
          </w:p>
        </w:tc>
        <w:tc>
          <w:tcPr>
            <w:tcW w:type="dxa" w:w="3312"/>
            <w:vAlign w:val="center"/>
          </w:tcPr>
          <w:p>
            <w:r>
              <w:t>Local synthetic API/mock server</w:t>
            </w:r>
          </w:p>
        </w:tc>
        <w:tc>
          <w:tcPr>
            <w:tcW w:type="dxa" w:w="3312"/>
            <w:vAlign w:val="center"/>
          </w:tcPr>
          <w:p>
            <w:r>
              <w:t>Phase 2</w:t>
            </w:r>
          </w:p>
        </w:tc>
      </w:tr>
      <w:tr>
        <w:tc>
          <w:tcPr>
            <w:tcW w:type="dxa" w:w="3312"/>
            <w:vAlign w:val="center"/>
          </w:tcPr>
          <w:p>
            <w:r>
              <w:t>nosi-conformance</w:t>
            </w:r>
          </w:p>
        </w:tc>
        <w:tc>
          <w:tcPr>
            <w:tcW w:type="dxa" w:w="3312"/>
            <w:vAlign w:val="center"/>
          </w:tcPr>
          <w:p>
            <w:r>
              <w:t>Executable certification/conformance suite</w:t>
            </w:r>
          </w:p>
        </w:tc>
        <w:tc>
          <w:tcPr>
            <w:tcW w:type="dxa" w:w="3312"/>
            <w:vAlign w:val="center"/>
          </w:tcPr>
          <w:p>
            <w:r>
              <w:t>Phase 2-3</w:t>
            </w:r>
          </w:p>
        </w:tc>
      </w:tr>
      <w:tr>
        <w:tc>
          <w:tcPr>
            <w:tcW w:type="dxa" w:w="3312"/>
            <w:vAlign w:val="center"/>
          </w:tcPr>
          <w:p>
            <w:r>
              <w:t>nosi-adapters</w:t>
            </w:r>
          </w:p>
        </w:tc>
        <w:tc>
          <w:tcPr>
            <w:tcW w:type="dxa" w:w="3312"/>
            <w:vAlign w:val="center"/>
          </w:tcPr>
          <w:p>
            <w:r>
              <w:t>Provider-specific translation modules</w:t>
            </w:r>
          </w:p>
        </w:tc>
        <w:tc>
          <w:tcPr>
            <w:tcW w:type="dxa" w:w="3312"/>
            <w:vAlign w:val="center"/>
          </w:tcPr>
          <w:p>
            <w:r>
              <w:t>Only when legitimate specs/access exist</w:t>
            </w:r>
          </w:p>
        </w:tc>
      </w:tr>
      <w:tr>
        <w:tc>
          <w:tcPr>
            <w:tcW w:type="dxa" w:w="3312"/>
            <w:vAlign w:val="center"/>
          </w:tcPr>
          <w:p>
            <w:r>
              <w:t>nosi-docs</w:t>
            </w:r>
          </w:p>
        </w:tc>
        <w:tc>
          <w:tcPr>
            <w:tcW w:type="dxa" w:w="3312"/>
            <w:vAlign w:val="center"/>
          </w:tcPr>
          <w:p>
            <w:r>
              <w:t>Developer portal content and guides</w:t>
            </w:r>
          </w:p>
        </w:tc>
        <w:tc>
          <w:tcPr>
            <w:tcW w:type="dxa" w:w="3312"/>
            <w:vAlign w:val="center"/>
          </w:tcPr>
          <w:p>
            <w:r>
              <w:t>Continuous</w:t>
            </w:r>
          </w:p>
        </w:tc>
      </w:tr>
      <w:tr>
        <w:tc>
          <w:tcPr>
            <w:tcW w:type="dxa" w:w="3312"/>
            <w:vAlign w:val="center"/>
          </w:tcPr>
          <w:p>
            <w:r>
              <w:t>object-studio</w:t>
            </w:r>
          </w:p>
        </w:tc>
        <w:tc>
          <w:tcPr>
            <w:tcW w:type="dxa" w:w="3312"/>
            <w:vAlign w:val="center"/>
          </w:tcPr>
          <w:p>
            <w:r>
              <w:t>Visual schema/object exploration tooling</w:t>
            </w:r>
          </w:p>
        </w:tc>
        <w:tc>
          <w:tcPr>
            <w:tcW w:type="dxa" w:w="3312"/>
            <w:vAlign w:val="center"/>
          </w:tcPr>
          <w:p>
            <w:r>
              <w:t>Later</w:t>
            </w:r>
          </w:p>
        </w:tc>
      </w:tr>
    </w:tbl>
    <w:p>
      <w:pPr>
        <w:pStyle w:val="Heading1"/>
      </w:pPr>
      <w:r>
        <w:t>5. Canonical Domain Model - First Cut</w:t>
      </w:r>
    </w:p>
    <w:p>
      <w:pPr>
        <w:pStyle w:val="ListBullet"/>
      </w:pPr>
      <w:r>
        <w:t>Person / Identity: identifiers, names, contact points, verification metadata - not raw biometric templates.</w:t>
      </w:r>
    </w:p>
    <w:p>
      <w:pPr>
        <w:pStyle w:val="ListBullet"/>
      </w:pPr>
      <w:r>
        <w:t>Organisation / Business: registration identity, legal name, status, addresses, officers/roles where lawful.</w:t>
      </w:r>
    </w:p>
    <w:p>
      <w:pPr>
        <w:pStyle w:val="ListBullet"/>
      </w:pPr>
      <w:r>
        <w:t>Account: institution-neutral account metadata and capabilities.</w:t>
      </w:r>
    </w:p>
    <w:p>
      <w:pPr>
        <w:pStyle w:val="ListBullet"/>
      </w:pPr>
      <w:r>
        <w:t>Transaction: normalized amount, currency, direction, timestamps, status, references and counterparty metadata.</w:t>
      </w:r>
    </w:p>
    <w:p>
      <w:pPr>
        <w:pStyle w:val="ListBullet"/>
      </w:pPr>
      <w:r>
        <w:t>Consent: subject, controller/provider, scopes, purpose, timestamps, expiry, revocation and audit evidence.</w:t>
      </w:r>
    </w:p>
    <w:p>
      <w:pPr>
        <w:pStyle w:val="ListBullet"/>
      </w:pPr>
      <w:r>
        <w:t>Payment: instruction, payer/payee references, amount, status and provider reference.</w:t>
      </w:r>
    </w:p>
    <w:p>
      <w:pPr>
        <w:pStyle w:val="ListBullet"/>
      </w:pPr>
      <w:r>
        <w:t>Address, Credential, Taxpayer and common metadata/provenance primitives.</w:t>
      </w:r>
    </w:p>
    <w:p>
      <w:pPr>
        <w:pStyle w:val="Heading1"/>
      </w:pPr>
      <w:r>
        <w:t>6. How the Preparation Is Executed</w:t>
      </w:r>
    </w:p>
    <w:p>
      <w:pPr>
        <w:pStyle w:val="ListNumber"/>
      </w:pPr>
      <w:r>
        <w:t>Create a standards registry and collect only authoritative/public source documents.</w:t>
      </w:r>
    </w:p>
    <w:p>
      <w:pPr>
        <w:pStyle w:val="ListNumber"/>
      </w:pPr>
      <w:r>
        <w:t>Extract normative requirements into a traceability matrix.</w:t>
      </w:r>
    </w:p>
    <w:p>
      <w:pPr>
        <w:pStyle w:val="ListNumber"/>
      </w:pPr>
      <w:r>
        <w:t>Draft canonical objects as RFCs, explicitly marking assumptions.</w:t>
      </w:r>
    </w:p>
    <w:p>
      <w:pPr>
        <w:pStyle w:val="ListNumber"/>
      </w:pPr>
      <w:r>
        <w:t>Review models with domain experts; revise before freezing v0.x contracts.</w:t>
      </w:r>
    </w:p>
    <w:p>
      <w:pPr>
        <w:pStyle w:val="ListNumber"/>
      </w:pPr>
      <w:r>
        <w:t>Publish schemas plus examples and validation rules in nosi-specs.</w:t>
      </w:r>
    </w:p>
    <w:p>
      <w:pPr>
        <w:pStyle w:val="ListNumber"/>
      </w:pPr>
      <w:r>
        <w:t>Generate/implement SDKs from the accepted contracts.</w:t>
      </w:r>
    </w:p>
    <w:p>
      <w:pPr>
        <w:pStyle w:val="ListNumber"/>
      </w:pPr>
      <w:r>
        <w:t>Build synthetic mocks and conformance tests so developers can work without production access.</w:t>
      </w:r>
    </w:p>
    <w:p>
      <w:pPr>
        <w:pStyle w:val="ListNumber"/>
      </w:pPr>
      <w:r>
        <w:t>Demonstrate the system to institutions and incorporate formal feedback.</w:t>
      </w:r>
    </w:p>
    <w:p>
      <w:pPr>
        <w:pStyle w:val="ListNumber"/>
      </w:pPr>
      <w:r>
        <w:t>Only build live adapters after access, terms and legal authority are clear.</w:t>
      </w:r>
    </w:p>
    <w:p>
      <w:pPr>
        <w:pStyle w:val="ListNumber"/>
      </w:pPr>
      <w:r>
        <w:t>Promote stable contracts from experimental -&gt; reference -&gt; stable based on evidence and adoption.</w:t>
      </w:r>
    </w:p>
    <w:p>
      <w:pPr>
        <w:pStyle w:val="Heading1"/>
      </w:pPr>
      <w:r>
        <w:t>7. First 30 / 60 / 90 Days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Window</w:t>
            </w:r>
          </w:p>
        </w:tc>
        <w:tc>
          <w:tcPr>
            <w:tcW w:type="dxa" w:w="4968"/>
            <w:shd w:fill="D9EAF7"/>
          </w:tcPr>
          <w:p>
            <w:r>
              <w:rPr>
                <w:b/>
              </w:rPr>
              <w:t>Outcome</w:t>
            </w:r>
          </w:p>
        </w:tc>
      </w:tr>
      <w:tr>
        <w:tc>
          <w:tcPr>
            <w:tcW w:type="dxa" w:w="4968"/>
            <w:vAlign w:val="center"/>
          </w:tcPr>
          <w:p>
            <w:r>
              <w:t>Days 1-30</w:t>
            </w:r>
          </w:p>
        </w:tc>
        <w:tc>
          <w:tcPr>
            <w:tcW w:type="dxa" w:w="4968"/>
            <w:vAlign w:val="center"/>
          </w:tcPr>
          <w:p>
            <w:r>
              <w:t>Repositories reserved; governance published; source registry; institutional map; first RFCs for Person, Organisation, Consent, Account and Transaction.</w:t>
            </w:r>
          </w:p>
        </w:tc>
      </w:tr>
      <w:tr>
        <w:tc>
          <w:tcPr>
            <w:tcW w:type="dxa" w:w="4968"/>
            <w:vAlign w:val="center"/>
          </w:tcPr>
          <w:p>
            <w:r>
              <w:t>Days 31-60</w:t>
            </w:r>
          </w:p>
        </w:tc>
        <w:tc>
          <w:tcPr>
            <w:tcW w:type="dxa" w:w="4968"/>
            <w:vAlign w:val="center"/>
          </w:tcPr>
          <w:p>
            <w:r>
              <w:t>nosi-specs v0.1; schema validator; Go + TypeScript alpha SDKs; synthetic fixtures; initial documentation site.</w:t>
            </w:r>
          </w:p>
        </w:tc>
      </w:tr>
      <w:tr>
        <w:tc>
          <w:tcPr>
            <w:tcW w:type="dxa" w:w="4968"/>
            <w:vAlign w:val="center"/>
          </w:tcPr>
          <w:p>
            <w:r>
              <w:t>Days 61-90</w:t>
            </w:r>
          </w:p>
        </w:tc>
        <w:tc>
          <w:tcPr>
            <w:tcW w:type="dxa" w:w="4968"/>
            <w:vAlign w:val="center"/>
          </w:tcPr>
          <w:p>
            <w:r>
              <w:t>Mock server; CLI alpha; conformance skeleton; demo applications; institutional briefing package; feedback loop with relevant stakeholders.</w:t>
            </w:r>
          </w:p>
        </w:tc>
      </w:tr>
    </w:tbl>
    <w:p>
      <w:pPr>
        <w:pStyle w:val="Heading1"/>
      </w:pPr>
      <w:r>
        <w:t>8. Readiness Gates</w:t>
      </w:r>
    </w:p>
    <w:p>
      <w:pPr>
        <w:pStyle w:val="ListBullet"/>
      </w:pPr>
      <w:r>
        <w:t>No schema reaches 'stable' without a documented source and review history.</w:t>
      </w:r>
    </w:p>
    <w:p>
      <w:pPr>
        <w:pStyle w:val="ListBullet"/>
      </w:pPr>
      <w:r>
        <w:t>No adapter claims production compatibility without a real provider contract/test environment.</w:t>
      </w:r>
    </w:p>
    <w:p>
      <w:pPr>
        <w:pStyle w:val="ListBullet"/>
      </w:pPr>
      <w:r>
        <w:t>No real citizen/customer data enters public CI, examples or demos.</w:t>
      </w:r>
    </w:p>
    <w:p>
      <w:pPr>
        <w:pStyle w:val="ListBullet"/>
      </w:pPr>
      <w:r>
        <w:t>No government endorsement language without explicit authorization.</w:t>
      </w:r>
    </w:p>
    <w:p>
      <w:pPr>
        <w:pStyle w:val="ListBullet"/>
      </w:pPr>
      <w:r>
        <w:t>Every release has tests, changelog, migration guidance and machine-readable version metadata.</w:t>
      </w:r>
    </w:p>
    <w:p>
      <w:pPr>
        <w:pStyle w:val="Heading1"/>
      </w:pPr>
      <w:r>
        <w:t>9. Success After Preparation</w:t>
      </w:r>
    </w:p>
    <w:p>
      <w:r>
        <w:t>Neurodyne should emerge with a credible public standards repository, working SDKs, a synthetic sandbox, a traceable relationship between official source material and NOSI models, and enough institutional trust that when production interfaces become accessible, the team is integrating rather than starting from zero.</w:t>
      </w:r>
    </w:p>
    <w:p>
      <w:pPr>
        <w:pStyle w:val="Heading1"/>
      </w:pPr>
      <w:r>
        <w:t>Authoritative Sources Used for This Strategy</w:t>
      </w:r>
    </w:p>
    <w:p>
      <w:pPr>
        <w:pStyle w:val="ListBullet"/>
      </w:pPr>
      <w:r>
        <w:t>Bank of Ghana - Draft Open Banking Directive for Regulated Financial Institutions, 21 Aug 2026.</w:t>
      </w:r>
    </w:p>
    <w:p>
      <w:pPr>
        <w:pStyle w:val="ListBullet"/>
      </w:pPr>
      <w:r>
        <w:t>NITA - Data Harmonisation Bill / National Data Exchange Platform provisions.</w:t>
      </w:r>
    </w:p>
    <w:p>
      <w:pPr>
        <w:pStyle w:val="ListBullet"/>
      </w:pPr>
      <w:r>
        <w:t>Government of Ghana / NITA - eGovernment Interoperability Framework (eGIF) v2.0.</w:t>
      </w:r>
    </w:p>
    <w:p>
      <w:pPr>
        <w:pStyle w:val="ListBullet"/>
      </w:pPr>
      <w:r>
        <w:t>Ministry of Communication, Digital Technology and Innovations - Ghana.gov revamp and national data exchange direction.</w:t>
      </w:r>
    </w:p>
    <w:p>
      <w:pPr>
        <w:pStyle w:val="ListBullet"/>
      </w:pPr>
      <w:r>
        <w:t>Ghana Digital Economy Policy and Strategy - Common National Digital Architecture and data-sharing recommendations.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