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NOSI Technical &amp; Execution Roadmap</w:t>
      </w:r>
    </w:p>
    <w:p>
      <w:pPr>
        <w:jc w:val="center"/>
      </w:pPr>
      <w:r>
        <w:rPr>
          <w:i/>
          <w:sz w:val="24"/>
        </w:rPr>
        <w:t>From canonical specifications to SDKs, conformance, adapters and an African interoperability platform</w:t>
      </w:r>
    </w:p>
    <w:p>
      <w:pPr>
        <w:jc w:val="center"/>
      </w:pPr>
      <w:r>
        <w:rPr>
          <w:b/>
        </w:rPr>
        <w:t>Neurodyne Open Standards Initiative (NOSI) | August 2026</w:t>
      </w:r>
    </w:p>
    <w:p/>
    <w:p>
      <w:pPr>
        <w:pStyle w:val="Heading1"/>
      </w:pPr>
      <w:r>
        <w:t>Executive Summary</w:t>
      </w:r>
    </w:p>
    <w:p>
      <w:r>
        <w:t>This roadmap turns NOSI from an idea into an executable open-source platform. The dependency direction is deliberate: source evidence -&gt; canonical specifications -&gt; SDKs -&gt; developer tooling -&gt; conformance -&gt; provider adapters -&gt; production gateway. This prevents provider quirks from contaminating the canonical standard and lets developers begin building before every live integration exists.</w:t>
      </w:r>
    </w:p>
    <w:p>
      <w:pPr>
        <w:pStyle w:val="Heading1"/>
      </w:pPr>
      <w:r>
        <w:t>1. Target Architecture</w:t>
      </w:r>
    </w:p>
    <w:p>
      <w:r>
        <w:t>Authoritative standards / provider contracts</w:t>
        <w:br/>
        <w:t xml:space="preserve">        |</w:t>
        <w:br/>
        <w:t xml:space="preserve">        v</w:t>
        <w:br/>
        <w:t xml:space="preserve">   nosi-specs  &lt;---- RFC + provenance registry</w:t>
        <w:br/>
        <w:t xml:space="preserve">        |</w:t>
        <w:br/>
        <w:t xml:space="preserve">   +----+------------------+</w:t>
        <w:br/>
        <w:t xml:space="preserve">   |                       |</w:t>
        <w:br/>
        <w:t>nosi-go              nosi-typescript</w:t>
        <w:br/>
        <w:t xml:space="preserve">   |                       |</w:t>
        <w:br/>
        <w:t xml:space="preserve">   +-----------+-----------+</w:t>
        <w:br/>
        <w:t xml:space="preserve">               v</w:t>
        <w:br/>
        <w:t xml:space="preserve">      CLI / validators / mock</w:t>
        <w:br/>
        <w:t xml:space="preserve">               |</w:t>
        <w:br/>
        <w:t xml:space="preserve">        conformance suite</w:t>
        <w:br/>
        <w:t xml:space="preserve">               |</w:t>
        <w:br/>
        <w:t xml:space="preserve">        provider adapters</w:t>
        <w:br/>
        <w:t xml:space="preserve">               |</w:t>
        <w:br/>
        <w:t xml:space="preserve">      optional NOSI gateway</w:t>
        <w:br/>
        <w:t xml:space="preserve">               |</w:t>
        <w:br/>
        <w:t xml:space="preserve">   apps / fintech / govtech / enterprise</w:t>
      </w:r>
    </w:p>
    <w:p>
      <w:pPr>
        <w:pStyle w:val="Heading1"/>
      </w:pPr>
      <w:r>
        <w:t>2. Engineering Principles</w:t>
      </w:r>
    </w:p>
    <w:p>
      <w:pPr>
        <w:pStyle w:val="ListBullet"/>
      </w:pPr>
      <w:r>
        <w:t>Spec-first: code implements contracts; code does not silently define the standard.</w:t>
      </w:r>
    </w:p>
    <w:p>
      <w:pPr>
        <w:pStyle w:val="ListBullet"/>
      </w:pPr>
      <w:r>
        <w:t>Canonical core, country/provider adapters at the edge.</w:t>
      </w:r>
    </w:p>
    <w:p>
      <w:pPr>
        <w:pStyle w:val="ListBullet"/>
      </w:pPr>
      <w:r>
        <w:t>Generated code where safe; handwritten ergonomic layers where generation produces poor APIs.</w:t>
      </w:r>
    </w:p>
    <w:p>
      <w:pPr>
        <w:pStyle w:val="ListBullet"/>
      </w:pPr>
      <w:r>
        <w:t>Backward compatibility by default; breaking changes require RFC + major version.</w:t>
      </w:r>
    </w:p>
    <w:p>
      <w:pPr>
        <w:pStyle w:val="ListBullet"/>
      </w:pPr>
      <w:r>
        <w:t>Idempotency, auditability, explicit errors and deterministic validation.</w:t>
      </w:r>
    </w:p>
    <w:p>
      <w:pPr>
        <w:pStyle w:val="ListBullet"/>
      </w:pPr>
      <w:r>
        <w:t>Security by design: OAuth/OIDC where applicable, mTLS/provider requirements, signed webhooks, secret rotation, least privilege.</w:t>
      </w:r>
    </w:p>
    <w:p>
      <w:pPr>
        <w:pStyle w:val="ListBullet"/>
      </w:pPr>
      <w:r>
        <w:t>Synthetic-first testing; provider contract tests only in controlled environments.</w:t>
      </w:r>
    </w:p>
    <w:p>
      <w:pPr>
        <w:pStyle w:val="ListBullet"/>
      </w:pPr>
      <w:r>
        <w:t>Observability built into gateway/adapters: traces, structured logs, metrics and correlation IDs.</w:t>
      </w:r>
    </w:p>
    <w:p>
      <w:pPr>
        <w:pStyle w:val="Heading1"/>
      </w:pPr>
      <w:r>
        <w:t>3. Phase 0 - Foundation (Weeks 1-2)</w:t>
      </w:r>
    </w:p>
    <w:p>
      <w:pPr>
        <w:pStyle w:val="ListBullet"/>
      </w:pPr>
      <w:r>
        <w:t>Create GitHub org/repositories, branch protection, CODEOWNERS and release conventions.</w:t>
      </w:r>
    </w:p>
    <w:p>
      <w:pPr>
        <w:pStyle w:val="ListBullet"/>
      </w:pPr>
      <w:r>
        <w:t>Set up CI: lint, schema validation, unit tests, security scanning, dependency updates and release checks.</w:t>
      </w:r>
    </w:p>
    <w:p>
      <w:pPr>
        <w:pStyle w:val="ListBullet"/>
      </w:pPr>
      <w:r>
        <w:t>Publish governance, RFC template, provenance format and semantic-versioning rules.</w:t>
      </w:r>
    </w:p>
    <w:p>
      <w:pPr>
        <w:pStyle w:val="ListBullet"/>
      </w:pPr>
      <w:r>
        <w:t>Create /sources, /rfcs, /schemas, /openapi, /asyncapi, /examples and /tests structure in nosi-specs.</w:t>
      </w:r>
    </w:p>
    <w:p>
      <w:pPr>
        <w:pStyle w:val="Heading1"/>
      </w:pPr>
      <w:r>
        <w:t>4. Phase 1 - Canonical Specifications (Weeks 2-6)</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Deliverable</w:t>
            </w:r>
          </w:p>
        </w:tc>
        <w:tc>
          <w:tcPr>
            <w:tcW w:type="dxa" w:w="4968"/>
            <w:shd w:fill="D9EAF7"/>
          </w:tcPr>
          <w:p>
            <w:r>
              <w:rPr>
                <w:b/>
              </w:rPr>
              <w:t>How</w:t>
            </w:r>
          </w:p>
        </w:tc>
      </w:tr>
      <w:tr>
        <w:tc>
          <w:tcPr>
            <w:tcW w:type="dxa" w:w="4968"/>
            <w:vAlign w:val="center"/>
          </w:tcPr>
          <w:p>
            <w:r>
              <w:t>Common primitives</w:t>
            </w:r>
          </w:p>
        </w:tc>
        <w:tc>
          <w:tcPr>
            <w:tcW w:type="dxa" w:w="4968"/>
            <w:vAlign w:val="center"/>
          </w:tcPr>
          <w:p>
            <w:r>
              <w:t>Money, Currency, Identifier, Timestamp, Address, ContactPoint, Status, Pagination, Error, Provenance.</w:t>
            </w:r>
          </w:p>
        </w:tc>
      </w:tr>
      <w:tr>
        <w:tc>
          <w:tcPr>
            <w:tcW w:type="dxa" w:w="4968"/>
            <w:vAlign w:val="center"/>
          </w:tcPr>
          <w:p>
            <w:r>
              <w:t>Identity</w:t>
            </w:r>
          </w:p>
        </w:tc>
        <w:tc>
          <w:tcPr>
            <w:tcW w:type="dxa" w:w="4968"/>
            <w:vAlign w:val="center"/>
          </w:tcPr>
          <w:p>
            <w:r>
              <w:t>Person + VerificationResult schemas with privacy-safe abstractions.</w:t>
            </w:r>
          </w:p>
        </w:tc>
      </w:tr>
      <w:tr>
        <w:tc>
          <w:tcPr>
            <w:tcW w:type="dxa" w:w="4968"/>
            <w:vAlign w:val="center"/>
          </w:tcPr>
          <w:p>
            <w:r>
              <w:t>Business</w:t>
            </w:r>
          </w:p>
        </w:tc>
        <w:tc>
          <w:tcPr>
            <w:tcW w:type="dxa" w:w="4968"/>
            <w:vAlign w:val="center"/>
          </w:tcPr>
          <w:p>
            <w:r>
              <w:t>Organisation/BusinessRegistration models and status vocabulary.</w:t>
            </w:r>
          </w:p>
        </w:tc>
      </w:tr>
      <w:tr>
        <w:tc>
          <w:tcPr>
            <w:tcW w:type="dxa" w:w="4968"/>
            <w:vAlign w:val="center"/>
          </w:tcPr>
          <w:p>
            <w:r>
              <w:t>Finance</w:t>
            </w:r>
          </w:p>
        </w:tc>
        <w:tc>
          <w:tcPr>
            <w:tcW w:type="dxa" w:w="4968"/>
            <w:vAlign w:val="center"/>
          </w:tcPr>
          <w:p>
            <w:r>
              <w:t>Account, Transaction and Payment canonical models.</w:t>
            </w:r>
          </w:p>
        </w:tc>
      </w:tr>
      <w:tr>
        <w:tc>
          <w:tcPr>
            <w:tcW w:type="dxa" w:w="4968"/>
            <w:vAlign w:val="center"/>
          </w:tcPr>
          <w:p>
            <w:r>
              <w:t>Consent</w:t>
            </w:r>
          </w:p>
        </w:tc>
        <w:tc>
          <w:tcPr>
            <w:tcW w:type="dxa" w:w="4968"/>
            <w:vAlign w:val="center"/>
          </w:tcPr>
          <w:p>
            <w:r>
              <w:t>Scopes, purpose, grant, expiry, revocation and evidence.</w:t>
            </w:r>
          </w:p>
        </w:tc>
      </w:tr>
      <w:tr>
        <w:tc>
          <w:tcPr>
            <w:tcW w:type="dxa" w:w="4968"/>
            <w:vAlign w:val="center"/>
          </w:tcPr>
          <w:p>
            <w:r>
              <w:t>API contracts</w:t>
            </w:r>
          </w:p>
        </w:tc>
        <w:tc>
          <w:tcPr>
            <w:tcW w:type="dxa" w:w="4968"/>
            <w:vAlign w:val="center"/>
          </w:tcPr>
          <w:p>
            <w:r>
              <w:t>OpenAPI for synchronous operations; AsyncAPI/event envelopes where asynchronous exchange is required.</w:t>
            </w:r>
          </w:p>
        </w:tc>
      </w:tr>
      <w:tr>
        <w:tc>
          <w:tcPr>
            <w:tcW w:type="dxa" w:w="4968"/>
            <w:vAlign w:val="center"/>
          </w:tcPr>
          <w:p>
            <w:r>
              <w:t>Examples</w:t>
            </w:r>
          </w:p>
        </w:tc>
        <w:tc>
          <w:tcPr>
            <w:tcW w:type="dxa" w:w="4968"/>
            <w:vAlign w:val="center"/>
          </w:tcPr>
          <w:p>
            <w:r>
              <w:t>Valid/invalid fixtures and synthetic Ghana-oriented examples.</w:t>
            </w:r>
          </w:p>
        </w:tc>
      </w:tr>
      <w:tr>
        <w:tc>
          <w:tcPr>
            <w:tcW w:type="dxa" w:w="4968"/>
            <w:vAlign w:val="center"/>
          </w:tcPr>
          <w:p>
            <w:r>
              <w:t>Compatibility</w:t>
            </w:r>
          </w:p>
        </w:tc>
        <w:tc>
          <w:tcPr>
            <w:tcW w:type="dxa" w:w="4968"/>
            <w:vAlign w:val="center"/>
          </w:tcPr>
          <w:p>
            <w:r>
              <w:t>JSON Schema tests plus contract-diff checks in CI.</w:t>
            </w:r>
          </w:p>
        </w:tc>
      </w:tr>
    </w:tbl>
    <w:p>
      <w:r>
        <w:t>Definition of done: every object has schema, examples, provenance, validation tests, version metadata and an RFC/review trail.</w:t>
      </w:r>
    </w:p>
    <w:p>
      <w:pPr>
        <w:pStyle w:val="Heading1"/>
      </w:pPr>
      <w:r>
        <w:t>5. Phase 2 - Core SDKs (Weeks 5-9)</w:t>
      </w:r>
    </w:p>
    <w:p>
      <w:pPr>
        <w:pStyle w:val="Heading2"/>
      </w:pPr>
      <w:r>
        <w:t>5.1 nosi-go</w:t>
      </w:r>
    </w:p>
    <w:p>
      <w:pPr>
        <w:pStyle w:val="ListBullet"/>
      </w:pPr>
      <w:r>
        <w:t>Typed canonical domain models and validation.</w:t>
      </w:r>
    </w:p>
    <w:p>
      <w:pPr>
        <w:pStyle w:val="ListBullet"/>
      </w:pPr>
      <w:r>
        <w:t>Client abstractions for identity, business, consent, account, transaction and payment capabilities.</w:t>
      </w:r>
    </w:p>
    <w:p>
      <w:pPr>
        <w:pStyle w:val="ListBullet"/>
      </w:pPr>
      <w:r>
        <w:t>Context-aware calls, timeouts, retries only where safe, idempotency keys and structured errors.</w:t>
      </w:r>
    </w:p>
    <w:p>
      <w:pPr>
        <w:pStyle w:val="ListBullet"/>
      </w:pPr>
      <w:r>
        <w:t>Webhook verification helpers and pagination primitives.</w:t>
      </w:r>
    </w:p>
    <w:p>
      <w:pPr>
        <w:pStyle w:val="ListBullet"/>
      </w:pPr>
      <w:r>
        <w:t>OpenTelemetry hooks without forcing a particular backend.</w:t>
      </w:r>
    </w:p>
    <w:p>
      <w:pPr>
        <w:pStyle w:val="ListBullet"/>
      </w:pPr>
      <w:r>
        <w:t>Examples and integration tests against nosi-mock.</w:t>
      </w:r>
    </w:p>
    <w:p>
      <w:pPr>
        <w:pStyle w:val="Heading2"/>
      </w:pPr>
      <w:r>
        <w:t>5.2 nosi-typescript</w:t>
      </w:r>
    </w:p>
    <w:p>
      <w:pPr>
        <w:pStyle w:val="ListBullet"/>
      </w:pPr>
      <w:r>
        <w:t>Equivalent canonical types and runtime validation; do not rely on TypeScript compile-time types alone.</w:t>
      </w:r>
    </w:p>
    <w:p>
      <w:pPr>
        <w:pStyle w:val="ListBullet"/>
      </w:pPr>
      <w:r>
        <w:t>Node/server client first; browser support only for flows safe for public clients.</w:t>
      </w:r>
    </w:p>
    <w:p>
      <w:pPr>
        <w:pStyle w:val="ListBullet"/>
      </w:pPr>
      <w:r>
        <w:t>Typed errors, pagination, webhook helpers, ESM-first packaging and generated API reference.</w:t>
      </w:r>
    </w:p>
    <w:p>
      <w:pPr>
        <w:pStyle w:val="ListBullet"/>
      </w:pPr>
      <w:r>
        <w:t>Parity tests against shared JSON fixtures to ensure Go and TypeScript interpret schemas identically.</w:t>
      </w:r>
    </w:p>
    <w:p>
      <w:pPr>
        <w:pStyle w:val="Heading1"/>
      </w:pPr>
      <w:r>
        <w:t>6. Phase 3 - Developer Tooling (Weeks 8-12)</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Capabilities</w:t>
            </w:r>
          </w:p>
        </w:tc>
      </w:tr>
      <w:tr>
        <w:tc>
          <w:tcPr>
            <w:tcW w:type="dxa" w:w="4968"/>
            <w:vAlign w:val="center"/>
          </w:tcPr>
          <w:p>
            <w:r>
              <w:t>nosi-cli</w:t>
            </w:r>
          </w:p>
        </w:tc>
        <w:tc>
          <w:tcPr>
            <w:tcW w:type="dxa" w:w="4968"/>
            <w:vAlign w:val="center"/>
          </w:tcPr>
          <w:p>
            <w:r>
              <w:t>validate files; inspect schemas; scaffold projects; generate types; run conformance; start local mock.</w:t>
            </w:r>
          </w:p>
        </w:tc>
      </w:tr>
      <w:tr>
        <w:tc>
          <w:tcPr>
            <w:tcW w:type="dxa" w:w="4968"/>
            <w:vAlign w:val="center"/>
          </w:tcPr>
          <w:p>
            <w:r>
              <w:t>nosi-mock</w:t>
            </w:r>
          </w:p>
        </w:tc>
        <w:tc>
          <w:tcPr>
            <w:tcW w:type="dxa" w:w="4968"/>
            <w:vAlign w:val="center"/>
          </w:tcPr>
          <w:p>
            <w:r>
              <w:t>Synthetic identities, businesses, accounts, transactions, payments and configurable failure/latency scenarios.</w:t>
            </w:r>
          </w:p>
        </w:tc>
      </w:tr>
      <w:tr>
        <w:tc>
          <w:tcPr>
            <w:tcW w:type="dxa" w:w="4968"/>
            <w:vAlign w:val="center"/>
          </w:tcPr>
          <w:p>
            <w:r>
              <w:t>nosi-docs</w:t>
            </w:r>
          </w:p>
        </w:tc>
        <w:tc>
          <w:tcPr>
            <w:tcW w:type="dxa" w:w="4968"/>
            <w:vAlign w:val="center"/>
          </w:tcPr>
          <w:p>
            <w:r>
              <w:t>Concepts, quickstarts, API reference, schema explorer, RFCs, migration guides and provenance pages.</w:t>
            </w:r>
          </w:p>
        </w:tc>
      </w:tr>
      <w:tr>
        <w:tc>
          <w:tcPr>
            <w:tcW w:type="dxa" w:w="4968"/>
            <w:vAlign w:val="center"/>
          </w:tcPr>
          <w:p>
            <w:r>
              <w:t>Example apps</w:t>
            </w:r>
          </w:p>
        </w:tc>
        <w:tc>
          <w:tcPr>
            <w:tcW w:type="dxa" w:w="4968"/>
            <w:vAlign w:val="center"/>
          </w:tcPr>
          <w:p>
            <w:r>
              <w:t>Small but realistic KYC, business verification and financial-data consent demos.</w:t>
            </w:r>
          </w:p>
        </w:tc>
      </w:tr>
    </w:tbl>
    <w:p>
      <w:pPr>
        <w:pStyle w:val="Heading1"/>
      </w:pPr>
      <w:r>
        <w:t>7. Phase 4 - Conformance Framework (Months 3-4)</w:t>
      </w:r>
    </w:p>
    <w:p>
      <w:pPr>
        <w:pStyle w:val="ListBullet"/>
      </w:pPr>
      <w:r>
        <w:t>Define profiles such as Core Identity, Core Business, Open Finance Reference and Eventing.</w:t>
      </w:r>
    </w:p>
    <w:p>
      <w:pPr>
        <w:pStyle w:val="ListBullet"/>
      </w:pPr>
      <w:r>
        <w:t>Test schema validity, required semantics, error behavior, idempotency, pagination, timestamps and webhook signatures.</w:t>
      </w:r>
    </w:p>
    <w:p>
      <w:pPr>
        <w:pStyle w:val="ListBullet"/>
      </w:pPr>
      <w:r>
        <w:t>Produce machine-readable test reports plus human-readable badges/status.</w:t>
      </w:r>
    </w:p>
    <w:p>
      <w:pPr>
        <w:pStyle w:val="ListBullet"/>
      </w:pPr>
      <w:r>
        <w:t>Keep 'NOSI conformant' distinct from 'government approved' or 'regulator certified'.</w:t>
      </w:r>
    </w:p>
    <w:p>
      <w:pPr>
        <w:pStyle w:val="ListBullet"/>
      </w:pPr>
      <w:r>
        <w:t>Provide provider test harnesses so institutions can assess interoperability before public integration.</w:t>
      </w:r>
    </w:p>
    <w:p>
      <w:pPr>
        <w:pStyle w:val="Heading1"/>
      </w:pPr>
      <w:r>
        <w:t>8. Phase 5 - Provider Adapter Framework (Months 4-6)</w:t>
      </w:r>
    </w:p>
    <w:p>
      <w:r>
        <w:t>Adapters translate provider-specific contracts into canonical NOSI objects. They must not redefine the canonical models. An adapter is created only from legitimate documentation/access and must declare provider, API version, capabilities, mapping rules, unsupported fields and conformance results.</w:t>
      </w:r>
    </w:p>
    <w:p>
      <w:pPr>
        <w:pStyle w:val="ListBullet"/>
      </w:pPr>
      <w:r>
        <w:t>Define interfaces such as IdentityProvider, BusinessRegistryProvider, AccountInformationProvider and PaymentProvider.</w:t>
      </w:r>
    </w:p>
    <w:p>
      <w:pPr>
        <w:pStyle w:val="ListBullet"/>
      </w:pPr>
      <w:r>
        <w:t>Map provider errors to NOSI error taxonomy while preserving raw provider reference codes for diagnosis.</w:t>
      </w:r>
    </w:p>
    <w:p>
      <w:pPr>
        <w:pStyle w:val="ListBullet"/>
      </w:pPr>
      <w:r>
        <w:t>Support capability discovery so applications know what a provider can actually do.</w:t>
      </w:r>
    </w:p>
    <w:p>
      <w:pPr>
        <w:pStyle w:val="ListBullet"/>
      </w:pPr>
      <w:r>
        <w:t>Use contract tests and sandbox environments; quarantine provider-specific workarounds inside the adapter.</w:t>
      </w:r>
    </w:p>
    <w:p>
      <w:pPr>
        <w:pStyle w:val="ListBullet"/>
      </w:pPr>
      <w:r>
        <w:t>Version adapters independently from core schemas.</w:t>
      </w:r>
    </w:p>
    <w:p>
      <w:pPr>
        <w:pStyle w:val="Heading1"/>
      </w:pPr>
      <w:r>
        <w:t>9. Phase 6 - Optional NOSI Gateway (Months 5-8)</w:t>
      </w:r>
    </w:p>
    <w:p>
      <w:r>
        <w:t>Only after SDKs and adapters prove useful should Neurodyne operate a hosted gateway. The gateway is a commercial/product layer, not the standard itself.</w:t>
      </w:r>
    </w:p>
    <w:p>
      <w:pPr>
        <w:pStyle w:val="ListBullet"/>
      </w:pPr>
      <w:r>
        <w:t>Tenant/project management, API keys and OAuth client registration.</w:t>
      </w:r>
    </w:p>
    <w:p>
      <w:pPr>
        <w:pStyle w:val="ListBullet"/>
      </w:pPr>
      <w:r>
        <w:t>Consent orchestration and auditable consent receipts.</w:t>
      </w:r>
    </w:p>
    <w:p>
      <w:pPr>
        <w:pStyle w:val="ListBullet"/>
      </w:pPr>
      <w:r>
        <w:t>Provider routing, retries/circuit breaking where semantically safe, quotas and rate limiting.</w:t>
      </w:r>
    </w:p>
    <w:p>
      <w:pPr>
        <w:pStyle w:val="ListBullet"/>
      </w:pPr>
      <w:r>
        <w:t>Webhook delivery with signing, retry schedules and dead-letter handling.</w:t>
      </w:r>
    </w:p>
    <w:p>
      <w:pPr>
        <w:pStyle w:val="ListBullet"/>
      </w:pPr>
      <w:r>
        <w:t>Encrypted secrets, KMS/HSM-backed key management where required, audit logs and tamper-evident records.</w:t>
      </w:r>
    </w:p>
    <w:p>
      <w:pPr>
        <w:pStyle w:val="ListBullet"/>
      </w:pPr>
      <w:r>
        <w:t>Usage metering, billing hooks, dashboards and service-health status.</w:t>
      </w:r>
    </w:p>
    <w:p>
      <w:pPr>
        <w:pStyle w:val="ListBullet"/>
      </w:pPr>
      <w:r>
        <w:t>Data minimisation: proxy rather than persist sensitive payloads unless persistence is necessary and lawful.</w:t>
      </w:r>
    </w:p>
    <w:p>
      <w:pPr>
        <w:pStyle w:val="Heading1"/>
      </w:pPr>
      <w:r>
        <w:t>10. Suggested Production Stack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Layer</w:t>
            </w:r>
          </w:p>
        </w:tc>
        <w:tc>
          <w:tcPr>
            <w:tcW w:type="dxa" w:w="4968"/>
            <w:shd w:fill="D9EAF7"/>
          </w:tcPr>
          <w:p>
            <w:r>
              <w:rPr>
                <w:b/>
              </w:rPr>
              <w:t>Recommendation</w:t>
            </w:r>
          </w:p>
        </w:tc>
      </w:tr>
      <w:tr>
        <w:tc>
          <w:tcPr>
            <w:tcW w:type="dxa" w:w="4968"/>
            <w:vAlign w:val="center"/>
          </w:tcPr>
          <w:p>
            <w:r>
              <w:t>Core services</w:t>
            </w:r>
          </w:p>
        </w:tc>
        <w:tc>
          <w:tcPr>
            <w:tcW w:type="dxa" w:w="4968"/>
            <w:vAlign w:val="center"/>
          </w:tcPr>
          <w:p>
            <w:r>
              <w:t>Go</w:t>
            </w:r>
          </w:p>
        </w:tc>
      </w:tr>
      <w:tr>
        <w:tc>
          <w:tcPr>
            <w:tcW w:type="dxa" w:w="4968"/>
            <w:vAlign w:val="center"/>
          </w:tcPr>
          <w:p>
            <w:r>
              <w:t>Developer portal / dashboard</w:t>
            </w:r>
          </w:p>
        </w:tc>
        <w:tc>
          <w:tcPr>
            <w:tcW w:type="dxa" w:w="4968"/>
            <w:vAlign w:val="center"/>
          </w:tcPr>
          <w:p>
            <w:r>
              <w:t>Next.js + TypeScript</w:t>
            </w:r>
          </w:p>
        </w:tc>
      </w:tr>
      <w:tr>
        <w:tc>
          <w:tcPr>
            <w:tcW w:type="dxa" w:w="4968"/>
            <w:vAlign w:val="center"/>
          </w:tcPr>
          <w:p>
            <w:r>
              <w:t>Contracts</w:t>
            </w:r>
          </w:p>
        </w:tc>
        <w:tc>
          <w:tcPr>
            <w:tcW w:type="dxa" w:w="4968"/>
            <w:vAlign w:val="center"/>
          </w:tcPr>
          <w:p>
            <w:r>
              <w:t>JSON Schema + OpenAPI + AsyncAPI</w:t>
            </w:r>
          </w:p>
        </w:tc>
      </w:tr>
      <w:tr>
        <w:tc>
          <w:tcPr>
            <w:tcW w:type="dxa" w:w="4968"/>
            <w:vAlign w:val="center"/>
          </w:tcPr>
          <w:p>
            <w:r>
              <w:t>Primary metadata DB</w:t>
            </w:r>
          </w:p>
        </w:tc>
        <w:tc>
          <w:tcPr>
            <w:tcW w:type="dxa" w:w="4968"/>
            <w:vAlign w:val="center"/>
          </w:tcPr>
          <w:p>
            <w:r>
              <w:t>PostgreSQL</w:t>
            </w:r>
          </w:p>
        </w:tc>
      </w:tr>
      <w:tr>
        <w:tc>
          <w:tcPr>
            <w:tcW w:type="dxa" w:w="4968"/>
            <w:vAlign w:val="center"/>
          </w:tcPr>
          <w:p>
            <w:r>
              <w:t>Cache / rate limit</w:t>
            </w:r>
          </w:p>
        </w:tc>
        <w:tc>
          <w:tcPr>
            <w:tcW w:type="dxa" w:w="4968"/>
            <w:vAlign w:val="center"/>
          </w:tcPr>
          <w:p>
            <w:r>
              <w:t>Redis where justified</w:t>
            </w:r>
          </w:p>
        </w:tc>
      </w:tr>
      <w:tr>
        <w:tc>
          <w:tcPr>
            <w:tcW w:type="dxa" w:w="4968"/>
            <w:vAlign w:val="center"/>
          </w:tcPr>
          <w:p>
            <w:r>
              <w:t>Async messaging</w:t>
            </w:r>
          </w:p>
        </w:tc>
        <w:tc>
          <w:tcPr>
            <w:tcW w:type="dxa" w:w="4968"/>
            <w:vAlign w:val="center"/>
          </w:tcPr>
          <w:p>
            <w:r>
              <w:t>Kafka/NATS/Pub/Sub based on deployment needs; keep canonical event contracts broker-neutral</w:t>
            </w:r>
          </w:p>
        </w:tc>
      </w:tr>
      <w:tr>
        <w:tc>
          <w:tcPr>
            <w:tcW w:type="dxa" w:w="4968"/>
            <w:vAlign w:val="center"/>
          </w:tcPr>
          <w:p>
            <w:r>
              <w:t>Observability</w:t>
            </w:r>
          </w:p>
        </w:tc>
        <w:tc>
          <w:tcPr>
            <w:tcW w:type="dxa" w:w="4968"/>
            <w:vAlign w:val="center"/>
          </w:tcPr>
          <w:p>
            <w:r>
              <w:t>OpenTelemetry + metrics/logging/tracing backend</w:t>
            </w:r>
          </w:p>
        </w:tc>
      </w:tr>
      <w:tr>
        <w:tc>
          <w:tcPr>
            <w:tcW w:type="dxa" w:w="4968"/>
            <w:vAlign w:val="center"/>
          </w:tcPr>
          <w:p>
            <w:r>
              <w:t>Secrets / keys</w:t>
            </w:r>
          </w:p>
        </w:tc>
        <w:tc>
          <w:tcPr>
            <w:tcW w:type="dxa" w:w="4968"/>
            <w:vAlign w:val="center"/>
          </w:tcPr>
          <w:p>
            <w:r>
              <w:t>Cloud KMS/Secret Manager; HSM for requirements that demand it</w:t>
            </w:r>
          </w:p>
        </w:tc>
      </w:tr>
      <w:tr>
        <w:tc>
          <w:tcPr>
            <w:tcW w:type="dxa" w:w="4968"/>
            <w:vAlign w:val="center"/>
          </w:tcPr>
          <w:p>
            <w:r>
              <w:t>Deployment</w:t>
            </w:r>
          </w:p>
        </w:tc>
        <w:tc>
          <w:tcPr>
            <w:tcW w:type="dxa" w:w="4968"/>
            <w:vAlign w:val="center"/>
          </w:tcPr>
          <w:p>
            <w:r>
              <w:t>Containers + Kubernetes or managed container platform; IaC and reproducible environments</w:t>
            </w:r>
          </w:p>
        </w:tc>
      </w:tr>
      <w:tr>
        <w:tc>
          <w:tcPr>
            <w:tcW w:type="dxa" w:w="4968"/>
            <w:vAlign w:val="center"/>
          </w:tcPr>
          <w:p>
            <w:r>
              <w:t>CI/CD</w:t>
            </w:r>
          </w:p>
        </w:tc>
        <w:tc>
          <w:tcPr>
            <w:tcW w:type="dxa" w:w="4968"/>
            <w:vAlign w:val="center"/>
          </w:tcPr>
          <w:p>
            <w:r>
              <w:t>GitHub Actions with signed releases/SBOM and security scanning</w:t>
            </w:r>
          </w:p>
        </w:tc>
      </w:tr>
    </w:tbl>
    <w:p>
      <w:pPr>
        <w:pStyle w:val="Heading1"/>
      </w:pPr>
      <w:r>
        <w:t>11. Testing Strategy</w:t>
      </w:r>
    </w:p>
    <w:p>
      <w:pPr>
        <w:pStyle w:val="ListBullet"/>
      </w:pPr>
      <w:r>
        <w:t>Schema tests: valid and invalid fixtures for every canonical object.</w:t>
      </w:r>
    </w:p>
    <w:p>
      <w:pPr>
        <w:pStyle w:val="ListBullet"/>
      </w:pPr>
      <w:r>
        <w:t>Golden cross-SDK tests: same fixture -&gt; same semantic result in Go/TypeScript/etc.</w:t>
      </w:r>
    </w:p>
    <w:p>
      <w:pPr>
        <w:pStyle w:val="ListBullet"/>
      </w:pPr>
      <w:r>
        <w:t>Unit tests: validation, mappings, retry rules, signing and errors.</w:t>
      </w:r>
    </w:p>
    <w:p>
      <w:pPr>
        <w:pStyle w:val="ListBullet"/>
      </w:pPr>
      <w:r>
        <w:t>Contract tests: OpenAPI/AsyncAPI compatibility and provider sandbox behavior.</w:t>
      </w:r>
    </w:p>
    <w:p>
      <w:pPr>
        <w:pStyle w:val="ListBullet"/>
      </w:pPr>
      <w:r>
        <w:t>Conformance tests: black-box implementation compliance.</w:t>
      </w:r>
    </w:p>
    <w:p>
      <w:pPr>
        <w:pStyle w:val="ListBullet"/>
      </w:pPr>
      <w:r>
        <w:t>Security tests: authz, tenant isolation, webhook replay, signature tampering, secret leakage and SSRF/input abuse.</w:t>
      </w:r>
    </w:p>
    <w:p>
      <w:pPr>
        <w:pStyle w:val="ListBullet"/>
      </w:pPr>
      <w:r>
        <w:t>Resilience tests: provider timeout, partial outage, duplicate callbacks, rate limiting and message redelivery.</w:t>
      </w:r>
    </w:p>
    <w:p>
      <w:pPr>
        <w:pStyle w:val="ListBullet"/>
      </w:pPr>
      <w:r>
        <w:t>Performance tests: gateway latency/throughput targets defined per capability rather than one universal SLA.</w:t>
      </w:r>
    </w:p>
    <w:p>
      <w:pPr>
        <w:pStyle w:val="Heading1"/>
      </w:pPr>
      <w:r>
        <w:t>12. Release &amp; Versioning Model</w:t>
      </w:r>
    </w:p>
    <w:p>
      <w:pPr>
        <w:pStyle w:val="ListBullet"/>
      </w:pPr>
      <w:r>
        <w:t>0.x = experimental/reference while contracts are actively evolving.</w:t>
      </w:r>
    </w:p>
    <w:p>
      <w:pPr>
        <w:pStyle w:val="ListBullet"/>
      </w:pPr>
      <w:r>
        <w:t>1.0 = stable core only after provenance, implementation experience and stakeholder review.</w:t>
      </w:r>
    </w:p>
    <w:p>
      <w:pPr>
        <w:pStyle w:val="ListBullet"/>
      </w:pPr>
      <w:r>
        <w:t>Schema package and SDK versions are related but not forced to share the same release number.</w:t>
      </w:r>
    </w:p>
    <w:p>
      <w:pPr>
        <w:pStyle w:val="ListBullet"/>
      </w:pPr>
      <w:r>
        <w:t>Publish migration guides and deprecation windows for every breaking transition.</w:t>
      </w:r>
    </w:p>
    <w:p>
      <w:pPr>
        <w:pStyle w:val="ListBullet"/>
      </w:pPr>
      <w:r>
        <w:t>Create signed tags/releases, checksums, SBOMs and reproducible release workflows.</w:t>
      </w:r>
    </w:p>
    <w:p>
      <w:pPr>
        <w:pStyle w:val="Heading1"/>
      </w:pPr>
      <w:r>
        <w:t>13. 12-Month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Period</w:t>
            </w:r>
          </w:p>
        </w:tc>
        <w:tc>
          <w:tcPr>
            <w:tcW w:type="dxa" w:w="3312"/>
            <w:shd w:fill="D9EAF7"/>
          </w:tcPr>
          <w:p>
            <w:r>
              <w:rPr>
                <w:b/>
              </w:rPr>
              <w:t>Primary objective</w:t>
            </w:r>
          </w:p>
        </w:tc>
        <w:tc>
          <w:tcPr>
            <w:tcW w:type="dxa" w:w="3312"/>
            <w:shd w:fill="D9EAF7"/>
          </w:tcPr>
          <w:p>
            <w:r>
              <w:rPr>
                <w:b/>
              </w:rPr>
              <w:t>Exit condition</w:t>
            </w:r>
          </w:p>
        </w:tc>
      </w:tr>
      <w:tr>
        <w:tc>
          <w:tcPr>
            <w:tcW w:type="dxa" w:w="3312"/>
            <w:vAlign w:val="center"/>
          </w:tcPr>
          <w:p>
            <w:r>
              <w:t>Month 1</w:t>
            </w:r>
          </w:p>
        </w:tc>
        <w:tc>
          <w:tcPr>
            <w:tcW w:type="dxa" w:w="3312"/>
            <w:vAlign w:val="center"/>
          </w:tcPr>
          <w:p>
            <w:r>
              <w:t>Governance + source registry + RFCs</w:t>
            </w:r>
          </w:p>
        </w:tc>
        <w:tc>
          <w:tcPr>
            <w:tcW w:type="dxa" w:w="3312"/>
            <w:vAlign w:val="center"/>
          </w:tcPr>
          <w:p>
            <w:r>
              <w:t>Public process and first reviewed schemas</w:t>
            </w:r>
          </w:p>
        </w:tc>
      </w:tr>
      <w:tr>
        <w:tc>
          <w:tcPr>
            <w:tcW w:type="dxa" w:w="3312"/>
            <w:vAlign w:val="center"/>
          </w:tcPr>
          <w:p>
            <w:r>
              <w:t>Months 2-3</w:t>
            </w:r>
          </w:p>
        </w:tc>
        <w:tc>
          <w:tcPr>
            <w:tcW w:type="dxa" w:w="3312"/>
            <w:vAlign w:val="center"/>
          </w:tcPr>
          <w:p>
            <w:r>
              <w:t>nosi-specs + Go/TS SDK alpha</w:t>
            </w:r>
          </w:p>
        </w:tc>
        <w:tc>
          <w:tcPr>
            <w:tcW w:type="dxa" w:w="3312"/>
            <w:vAlign w:val="center"/>
          </w:tcPr>
          <w:p>
            <w:r>
              <w:t>Developers can model/validate canonical objects</w:t>
            </w:r>
          </w:p>
        </w:tc>
      </w:tr>
      <w:tr>
        <w:tc>
          <w:tcPr>
            <w:tcW w:type="dxa" w:w="3312"/>
            <w:vAlign w:val="center"/>
          </w:tcPr>
          <w:p>
            <w:r>
              <w:t>Months 3-4</w:t>
            </w:r>
          </w:p>
        </w:tc>
        <w:tc>
          <w:tcPr>
            <w:tcW w:type="dxa" w:w="3312"/>
            <w:vAlign w:val="center"/>
          </w:tcPr>
          <w:p>
            <w:r>
              <w:t>CLI + mock + docs</w:t>
            </w:r>
          </w:p>
        </w:tc>
        <w:tc>
          <w:tcPr>
            <w:tcW w:type="dxa" w:w="3312"/>
            <w:vAlign w:val="center"/>
          </w:tcPr>
          <w:p>
            <w:r>
              <w:t>A developer can build locally without live government APIs</w:t>
            </w:r>
          </w:p>
        </w:tc>
      </w:tr>
      <w:tr>
        <w:tc>
          <w:tcPr>
            <w:tcW w:type="dxa" w:w="3312"/>
            <w:vAlign w:val="center"/>
          </w:tcPr>
          <w:p>
            <w:r>
              <w:t>Months 4-5</w:t>
            </w:r>
          </w:p>
        </w:tc>
        <w:tc>
          <w:tcPr>
            <w:tcW w:type="dxa" w:w="3312"/>
            <w:vAlign w:val="center"/>
          </w:tcPr>
          <w:p>
            <w:r>
              <w:t>Conformance v0.1</w:t>
            </w:r>
          </w:p>
        </w:tc>
        <w:tc>
          <w:tcPr>
            <w:tcW w:type="dxa" w:w="3312"/>
            <w:vAlign w:val="center"/>
          </w:tcPr>
          <w:p>
            <w:r>
              <w:t>Implementations can be tested consistently</w:t>
            </w:r>
          </w:p>
        </w:tc>
      </w:tr>
      <w:tr>
        <w:tc>
          <w:tcPr>
            <w:tcW w:type="dxa" w:w="3312"/>
            <w:vAlign w:val="center"/>
          </w:tcPr>
          <w:p>
            <w:r>
              <w:t>Months 5-7</w:t>
            </w:r>
          </w:p>
        </w:tc>
        <w:tc>
          <w:tcPr>
            <w:tcW w:type="dxa" w:w="3312"/>
            <w:vAlign w:val="center"/>
          </w:tcPr>
          <w:p>
            <w:r>
              <w:t>First legitimate provider adapters</w:t>
            </w:r>
          </w:p>
        </w:tc>
        <w:tc>
          <w:tcPr>
            <w:tcW w:type="dxa" w:w="3312"/>
            <w:vAlign w:val="center"/>
          </w:tcPr>
          <w:p>
            <w:r>
              <w:t>At least one real sandbox/contract-backed integration</w:t>
            </w:r>
          </w:p>
        </w:tc>
      </w:tr>
      <w:tr>
        <w:tc>
          <w:tcPr>
            <w:tcW w:type="dxa" w:w="3312"/>
            <w:vAlign w:val="center"/>
          </w:tcPr>
          <w:p>
            <w:r>
              <w:t>Months 6-8</w:t>
            </w:r>
          </w:p>
        </w:tc>
        <w:tc>
          <w:tcPr>
            <w:tcW w:type="dxa" w:w="3312"/>
            <w:vAlign w:val="center"/>
          </w:tcPr>
          <w:p>
            <w:r>
              <w:t>Hosted gateway alpha</w:t>
            </w:r>
          </w:p>
        </w:tc>
        <w:tc>
          <w:tcPr>
            <w:tcW w:type="dxa" w:w="3312"/>
            <w:vAlign w:val="center"/>
          </w:tcPr>
          <w:p>
            <w:r>
              <w:t>Multi-tenant controlled pilot if legally appropriate</w:t>
            </w:r>
          </w:p>
        </w:tc>
      </w:tr>
      <w:tr>
        <w:tc>
          <w:tcPr>
            <w:tcW w:type="dxa" w:w="3312"/>
            <w:vAlign w:val="center"/>
          </w:tcPr>
          <w:p>
            <w:r>
              <w:t>Months 8-10</w:t>
            </w:r>
          </w:p>
        </w:tc>
        <w:tc>
          <w:tcPr>
            <w:tcW w:type="dxa" w:w="3312"/>
            <w:vAlign w:val="center"/>
          </w:tcPr>
          <w:p>
            <w:r>
              <w:t>Institution/industry pilots</w:t>
            </w:r>
          </w:p>
        </w:tc>
        <w:tc>
          <w:tcPr>
            <w:tcW w:type="dxa" w:w="3312"/>
            <w:vAlign w:val="center"/>
          </w:tcPr>
          <w:p>
            <w:r>
              <w:t>Feedback drives stable profiles</w:t>
            </w:r>
          </w:p>
        </w:tc>
      </w:tr>
      <w:tr>
        <w:tc>
          <w:tcPr>
            <w:tcW w:type="dxa" w:w="3312"/>
            <w:vAlign w:val="center"/>
          </w:tcPr>
          <w:p>
            <w:r>
              <w:t>Months 10-12</w:t>
            </w:r>
          </w:p>
        </w:tc>
        <w:tc>
          <w:tcPr>
            <w:tcW w:type="dxa" w:w="3312"/>
            <w:vAlign w:val="center"/>
          </w:tcPr>
          <w:p>
            <w:r>
              <w:t>Core 1.0 candidate + Africa architecture</w:t>
            </w:r>
          </w:p>
        </w:tc>
        <w:tc>
          <w:tcPr>
            <w:tcW w:type="dxa" w:w="3312"/>
            <w:vAlign w:val="center"/>
          </w:tcPr>
          <w:p>
            <w:r>
              <w:t>Stable Ghana core and country-adapter template</w:t>
            </w:r>
          </w:p>
        </w:tc>
      </w:tr>
    </w:tbl>
    <w:p>
      <w:pPr>
        <w:pStyle w:val="Heading1"/>
      </w:pPr>
      <w:r>
        <w:t>14. Africa Expansion Model</w:t>
      </w:r>
    </w:p>
    <w:p>
      <w:r>
        <w:t>Do not clone the Ghana implementation country by country. Keep a country-neutral canonical layer and introduce country packs/adapters:</w:t>
      </w:r>
    </w:p>
    <w:p>
      <w:r>
        <w:t>NOSI Core</w:t>
        <w:br/>
        <w:t xml:space="preserve">  +-- Ghana pack</w:t>
        <w:br/>
        <w:t xml:space="preserve">  |     +-- identity adapter(s)</w:t>
        <w:br/>
        <w:t xml:space="preserve">  |     +-- open-finance adapter(s)</w:t>
        <w:br/>
        <w:t xml:space="preserve">  |     +-- registry adapter(s)</w:t>
        <w:br/>
        <w:t xml:space="preserve">  +-- Rwanda pack</w:t>
        <w:br/>
        <w:t xml:space="preserve">  +-- Kenya pack</w:t>
        <w:br/>
        <w:t xml:space="preserve">  +-- Nigeria pack</w:t>
        <w:br/>
        <w:br/>
        <w:t>Applications program against NOSI capabilities; country packs resolve local infrastructure and regulation.</w:t>
      </w:r>
    </w:p>
    <w:p>
      <w:pPr>
        <w:pStyle w:val="Heading1"/>
      </w:pPr>
      <w:r>
        <w:t>15. Immediate Build Backlog</w:t>
      </w:r>
    </w:p>
    <w:p>
      <w:pPr>
        <w:pStyle w:val="ListNumber"/>
      </w:pPr>
      <w:r>
        <w:t>Create nosi-specs repository and governance files.</w:t>
      </w:r>
    </w:p>
    <w:p>
      <w:pPr>
        <w:pStyle w:val="ListNumber"/>
      </w:pPr>
      <w:r>
        <w:t>Create source/provenance registry.</w:t>
      </w:r>
    </w:p>
    <w:p>
      <w:pPr>
        <w:pStyle w:val="ListNumber"/>
      </w:pPr>
      <w:r>
        <w:t>RFC-0001: NOSI scope and terminology.</w:t>
      </w:r>
    </w:p>
    <w:p>
      <w:pPr>
        <w:pStyle w:val="ListNumber"/>
      </w:pPr>
      <w:r>
        <w:t>RFC-0002: canonical metadata, identifiers and provenance.</w:t>
      </w:r>
    </w:p>
    <w:p>
      <w:pPr>
        <w:pStyle w:val="ListNumber"/>
      </w:pPr>
      <w:r>
        <w:t>RFC-0003: Person/Identity.</w:t>
      </w:r>
    </w:p>
    <w:p>
      <w:pPr>
        <w:pStyle w:val="ListNumber"/>
      </w:pPr>
      <w:r>
        <w:t>RFC-0004: Organisation/Business.</w:t>
      </w:r>
    </w:p>
    <w:p>
      <w:pPr>
        <w:pStyle w:val="ListNumber"/>
      </w:pPr>
      <w:r>
        <w:t>RFC-0005: Consent.</w:t>
      </w:r>
    </w:p>
    <w:p>
      <w:pPr>
        <w:pStyle w:val="ListNumber"/>
      </w:pPr>
      <w:r>
        <w:t>RFC-0006: Account/Transaction/Money.</w:t>
      </w:r>
    </w:p>
    <w:p>
      <w:pPr>
        <w:pStyle w:val="ListNumber"/>
      </w:pPr>
      <w:r>
        <w:t>Add JSON Schema validation CI and compatibility checks.</w:t>
      </w:r>
    </w:p>
    <w:p>
      <w:pPr>
        <w:pStyle w:val="ListNumber"/>
      </w:pPr>
      <w:r>
        <w:t>Release nosi-specs v0.1.0.</w:t>
      </w:r>
    </w:p>
    <w:p>
      <w:pPr>
        <w:pStyle w:val="ListNumber"/>
      </w:pPr>
      <w:r>
        <w:t>Bootstrap nosi-go and nosi-typescript from shared fixtures.</w:t>
      </w:r>
    </w:p>
    <w:p>
      <w:pPr>
        <w:pStyle w:val="ListNumber"/>
      </w:pPr>
      <w:r>
        <w:t>Ship validator CLI and synthetic mock.</w:t>
      </w:r>
    </w:p>
    <w:p>
      <w:pPr>
        <w:pStyle w:val="ListNumber"/>
      </w:pPr>
      <w:r>
        <w:t>Build conformance harness before live provider integrations.</w:t>
      </w:r>
    </w:p>
    <w:p>
      <w:pPr>
        <w:pStyle w:val="ListNumber"/>
      </w:pPr>
      <w:r>
        <w:t>Prepare institutional technical demo and adapter proposal.</w:t>
      </w:r>
    </w:p>
    <w:p>
      <w:pPr>
        <w:pStyle w:val="Heading1"/>
      </w:pPr>
      <w:r>
        <w:t>16. What Not To Build Yet</w:t>
      </w:r>
    </w:p>
    <w:p>
      <w:pPr>
        <w:pStyle w:val="ListBullet"/>
      </w:pPr>
      <w:r>
        <w:t>Do not scrape or unofficially reverse-engineer protected government systems.</w:t>
      </w:r>
    </w:p>
    <w:p>
      <w:pPr>
        <w:pStyle w:val="ListBullet"/>
      </w:pPr>
      <w:r>
        <w:t>Do not store national biometric data.</w:t>
      </w:r>
    </w:p>
    <w:p>
      <w:pPr>
        <w:pStyle w:val="ListBullet"/>
      </w:pPr>
      <w:r>
        <w:t>Do not build a production open-banking aggregator before licensing/access requirements are understood.</w:t>
      </w:r>
    </w:p>
    <w:p>
      <w:pPr>
        <w:pStyle w:val="ListBullet"/>
      </w:pPr>
      <w:r>
        <w:t>Do not create dozens of SDKs before Go/TypeScript and the core schemas are proven.</w:t>
      </w:r>
    </w:p>
    <w:p>
      <w:pPr>
        <w:pStyle w:val="ListBullet"/>
      </w:pPr>
      <w:r>
        <w:t>Do not make blockchain a dependency unless a concrete trust problem requires it.</w:t>
      </w:r>
    </w:p>
    <w:p>
      <w:pPr>
        <w:pStyle w:val="ListBullet"/>
      </w:pPr>
      <w:r>
        <w:t>Do not let the hosted commercial gateway become the only way to use the open standard.</w:t>
      </w:r>
    </w:p>
    <w:p>
      <w:pPr>
        <w:pStyle w:val="Heading1"/>
      </w:pPr>
      <w:r>
        <w:t>17. End State</w:t>
      </w:r>
    </w:p>
    <w:p>
      <w:r>
        <w:t>The desired end state is an open specification that anyone can implement, excellent SDKs and test tooling that make NOSI the easiest way to implement those contracts, provider adapters that connect legitimate Ghanaian infrastructure, and an optional Neurodyne-hosted gateway for teams that prefer a managed product. The moat is not secrecy: it is trust, developer experience, conformance, institutional relationships and execution speed.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