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NADAA → NEXT</w:t>
      </w:r>
    </w:p>
    <w:p>
      <w:pPr>
        <w:jc w:val="center"/>
      </w:pPr>
      <w:r>
        <w:rPr>
          <w:b/>
          <w:sz w:val="60"/>
        </w:rPr>
        <w:t>Emergency Response Platform</w:t>
        <w:br/>
        <w:t>Rebrand &amp; Product Blueprint</w:t>
      </w:r>
    </w:p>
    <w:p>
      <w:pPr>
        <w:jc w:val="center"/>
      </w:pPr>
      <w:r>
        <w:rPr>
          <w:i/>
          <w:sz w:val="28"/>
        </w:rPr>
        <w:t>Hope should not remain an idea. Help should start moving.</w:t>
      </w:r>
    </w:p>
    <w:p/>
    <w:p>
      <w:pPr>
        <w:jc w:val="center"/>
      </w:pPr>
      <w:r>
        <w:rPr>
          <w:b/>
          <w:sz w:val="24"/>
        </w:rPr>
        <w:t>Naming conclusion: keep SUBVENIO as the working front-runner; do not finalize the legal brand until formal clearance.</w:t>
      </w:r>
    </w:p>
    <w:p>
      <w:r>
        <w:br w:type="page"/>
      </w:r>
    </w:p>
    <w:p>
      <w:pPr>
        <w:pStyle w:val="Heading1"/>
      </w:pPr>
      <w:r>
        <w:t>1. Executive conclusion</w:t>
      </w:r>
    </w:p>
    <w:p>
      <w:r>
        <w:t>The project should move away from NADAA toward a brand built around intervention before an emergency becomes fatal. The strongest concept discovered in the naming work is not “security” or “panic”; it is the moment when a person believes they may be alone, but the system makes help begin moving toward them.</w:t>
      </w:r>
    </w:p>
    <w:p>
      <w:r>
        <w:t>SUBVENIO is the current working front-runner. In Latin, subveniō carries the sense of coming to someone’s aid, assisting, relieving, or coming to the rescue. This matches the platform’s intended behaviour unusually well: detect distress, find the right people, coordinate a response, and help the person reach safety.</w:t>
      </w:r>
    </w:p>
    <w:p>
      <w:r>
        <w:t>However, SUBVENIO is not cleared as the final legal/commercial mark. Current searches show existing businesses using the name, including a software company and a recent U.S. software trademark filing. The rebrand should therefore proceed as a working product identity while a professional trademark/domain/app-store clearance is completed.</w:t>
      </w:r>
    </w:p>
    <w:p>
      <w:pPr>
        <w:pStyle w:val="Heading2"/>
      </w:pPr>
      <w:r>
        <w:t>Recommended positioning</w:t>
      </w:r>
    </w:p>
    <w:p>
      <w:pPr>
        <w:pStyle w:val="ListBullet"/>
      </w:pPr>
      <w:r>
        <w:t>Working product name: SUBVENIO</w:t>
      </w:r>
    </w:p>
    <w:p>
      <w:pPr>
        <w:pStyle w:val="ListBullet"/>
      </w:pPr>
      <w:r>
        <w:t>Core promise: Someone is coming.</w:t>
      </w:r>
    </w:p>
    <w:p>
      <w:pPr>
        <w:pStyle w:val="ListBullet"/>
      </w:pPr>
      <w:r>
        <w:t>Brand philosophy: Hope should not just be something you feel. It should become action.</w:t>
      </w:r>
    </w:p>
    <w:p>
      <w:pPr>
        <w:pStyle w:val="ListBullet"/>
      </w:pPr>
      <w:r>
        <w:t>Outcome philosophy: intervention should increase the chance that the person gets another tomorrow and comes home.</w:t>
      </w:r>
    </w:p>
    <w:p>
      <w:pPr>
        <w:pStyle w:val="ListBullet"/>
      </w:pPr>
      <w:r>
        <w:t>Internal naming benchmark: NOSTOS — the ancient Greek idea of homecoming — remains a powerful secondary concept, but not the preferred consumer brand.</w:t>
      </w:r>
    </w:p>
    <w:p>
      <w:pPr>
        <w:pStyle w:val="Heading1"/>
      </w:pPr>
      <w:r>
        <w:t>2. How the naming direction evolved</w:t>
      </w:r>
    </w:p>
    <w:p>
      <w:r>
        <w:t>The naming exercise moved through mythology, Latin, Ancient Greek, Sanskrit, Old Norse and other ancient-language concepts. The useful discovery was that the brand does not need a dictionary definition of “emergency response.” Like country names, a strong name can begin with a smaller historical idea and accumulate its own meaning through use.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Concept</w:t>
            </w:r>
          </w:p>
        </w:tc>
        <w:tc>
          <w:tcPr>
            <w:tcW w:type="dxa" w:w="3312"/>
          </w:tcPr>
          <w:p>
            <w:r>
              <w:t>Example explored</w:t>
            </w:r>
          </w:p>
        </w:tc>
        <w:tc>
          <w:tcPr>
            <w:tcW w:type="dxa" w:w="3312"/>
          </w:tcPr>
          <w:p>
            <w:r>
              <w:t>Why it mattered</w:t>
            </w:r>
          </w:p>
        </w:tc>
      </w:tr>
      <w:tr>
        <w:tc>
          <w:tcPr>
            <w:tcW w:type="dxa" w:w="3312"/>
          </w:tcPr>
          <w:p>
            <w:r>
              <w:t>Hope</w:t>
            </w:r>
          </w:p>
        </w:tc>
        <w:tc>
          <w:tcPr>
            <w:tcW w:type="dxa" w:w="3312"/>
          </w:tcPr>
          <w:p>
            <w:r>
              <w:t>Elpis / Spes / Asha</w:t>
            </w:r>
          </w:p>
        </w:tc>
        <w:tc>
          <w:tcPr>
            <w:tcW w:type="dxa" w:w="3312"/>
          </w:tcPr>
          <w:p>
            <w:r>
              <w:t>The emotional state when a situation appears lost.</w:t>
            </w:r>
          </w:p>
        </w:tc>
      </w:tr>
      <w:tr>
        <w:tc>
          <w:tcPr>
            <w:tcW w:type="dxa" w:w="3312"/>
          </w:tcPr>
          <w:p>
            <w:r>
              <w:t>Second chance</w:t>
            </w:r>
          </w:p>
        </w:tc>
        <w:tc>
          <w:tcPr>
            <w:tcW w:type="dxa" w:w="3312"/>
          </w:tcPr>
          <w:p>
            <w:r>
              <w:t>Iterum / Denuo / Renascor</w:t>
            </w:r>
          </w:p>
        </w:tc>
        <w:tc>
          <w:tcPr>
            <w:tcW w:type="dxa" w:w="3312"/>
          </w:tcPr>
          <w:p>
            <w:r>
              <w:t>The intervention may change an otherwise irreversible outcome.</w:t>
            </w:r>
          </w:p>
        </w:tc>
      </w:tr>
      <w:tr>
        <w:tc>
          <w:tcPr>
            <w:tcW w:type="dxa" w:w="3312"/>
          </w:tcPr>
          <w:p>
            <w:r>
              <w:t>Light after darkness</w:t>
            </w:r>
          </w:p>
        </w:tc>
        <w:tc>
          <w:tcPr>
            <w:tcW w:type="dxa" w:w="3312"/>
          </w:tcPr>
          <w:p>
            <w:r>
              <w:t>Lumen / dawn concepts</w:t>
            </w:r>
          </w:p>
        </w:tc>
        <w:tc>
          <w:tcPr>
            <w:tcW w:type="dxa" w:w="3312"/>
          </w:tcPr>
          <w:p>
            <w:r>
              <w:t>Help appearing when the person believes there is no way out.</w:t>
            </w:r>
          </w:p>
        </w:tc>
      </w:tr>
      <w:tr>
        <w:tc>
          <w:tcPr>
            <w:tcW w:type="dxa" w:w="3312"/>
          </w:tcPr>
          <w:p>
            <w:r>
              <w:t>Homecoming</w:t>
            </w:r>
          </w:p>
        </w:tc>
        <w:tc>
          <w:tcPr>
            <w:tcW w:type="dxa" w:w="3312"/>
          </w:tcPr>
          <w:p>
            <w:r>
              <w:t>Nostos</w:t>
            </w:r>
          </w:p>
        </w:tc>
        <w:tc>
          <w:tcPr>
            <w:tcW w:type="dxa" w:w="3312"/>
          </w:tcPr>
          <w:p>
            <w:r>
              <w:t>The desired outcome is not heroism; it is getting the person home.</w:t>
            </w:r>
          </w:p>
        </w:tc>
      </w:tr>
      <w:tr>
        <w:tc>
          <w:tcPr>
            <w:tcW w:type="dxa" w:w="3312"/>
          </w:tcPr>
          <w:p>
            <w:r>
              <w:t>Coming to aid</w:t>
            </w:r>
          </w:p>
        </w:tc>
        <w:tc>
          <w:tcPr>
            <w:tcW w:type="dxa" w:w="3312"/>
          </w:tcPr>
          <w:p>
            <w:r>
              <w:t>Subvenio</w:t>
            </w:r>
          </w:p>
        </w:tc>
        <w:tc>
          <w:tcPr>
            <w:tcW w:type="dxa" w:w="3312"/>
          </w:tcPr>
          <w:p>
            <w:r>
              <w:t>Describes the system in motion toward the person.</w:t>
            </w:r>
          </w:p>
        </w:tc>
      </w:tr>
      <w:tr>
        <w:tc>
          <w:tcPr>
            <w:tcW w:type="dxa" w:w="3312"/>
          </w:tcPr>
          <w:p>
            <w:r>
              <w:t>Protected boundary</w:t>
            </w:r>
          </w:p>
        </w:tc>
        <w:tc>
          <w:tcPr>
            <w:tcW w:type="dxa" w:w="3312"/>
          </w:tcPr>
          <w:p>
            <w:r>
              <w:t>Limen / Orbis / Vallum</w:t>
            </w:r>
          </w:p>
        </w:tc>
        <w:tc>
          <w:tcPr>
            <w:tcW w:type="dxa" w:w="3312"/>
          </w:tcPr>
          <w:p>
            <w:r>
              <w:t>Supports the safe-zone and journey-monitoring product direction.</w:t>
            </w:r>
          </w:p>
        </w:tc>
      </w:tr>
    </w:tbl>
    <w:p>
      <w:pPr>
        <w:pStyle w:val="Heading2"/>
      </w:pPr>
      <w:r>
        <w:t>Names deliberately rejected or deprioritized</w:t>
      </w:r>
    </w:p>
    <w:p>
      <w:r>
        <w:t>Several candidates had excellent etymologies but poor marketing fit. Examples included SPES (unfortunate Ghanaian association with “spectacles”), PHAROS (likely to be heard as Pharaoh), LUCIFER (historically “light-bringer” but commercially unusable due to dominant religious associations), STELLA (too person-name-like), REDUX (overwhelming software/state-management association), and NOVEN/NOVENIO (significant existing commercial use). These failures established an important rule: local ear-testing and modern cultural associations matter as much as etymology.</w:t>
      </w:r>
    </w:p>
    <w:p>
      <w:pPr>
        <w:pStyle w:val="Heading1"/>
      </w:pPr>
      <w:r>
        <w:t>3. Brand platform</w:t>
      </w:r>
    </w:p>
    <w:p>
      <w:pPr>
        <w:pStyle w:val="Heading2"/>
      </w:pPr>
      <w:r>
        <w:t>Brand idea</w:t>
      </w:r>
    </w:p>
    <w:p>
      <w:r>
        <w:t>SUBVENIO should represent proactive human help, not fear. It is not a vigilante brand, a police substitute, or a promise that technology can prevent every tragedy. It is a coordinated safety network designed to notice risk earlier, reach the right people faster, preserve useful information, and escalate appropriately.</w:t>
      </w:r>
    </w:p>
    <w:p>
      <w:pPr>
        <w:pStyle w:val="Heading2"/>
      </w:pPr>
      <w:r>
        <w:t>Possible messaging</w:t>
      </w:r>
    </w:p>
    <w:p>
      <w:pPr>
        <w:pStyle w:val="ListBullet"/>
      </w:pPr>
      <w:r>
        <w:t>SUBVENIO — Someone is coming.</w:t>
      </w:r>
    </w:p>
    <w:p>
      <w:pPr>
        <w:pStyle w:val="ListBullet"/>
      </w:pPr>
      <w:r>
        <w:t>SUBVENIO — Help begins moving.</w:t>
      </w:r>
    </w:p>
    <w:p>
      <w:pPr>
        <w:pStyle w:val="ListBullet"/>
      </w:pPr>
      <w:r>
        <w:t>SUBVENIO — Another chance to come home.</w:t>
      </w:r>
    </w:p>
    <w:p>
      <w:pPr>
        <w:pStyle w:val="ListBullet"/>
      </w:pPr>
      <w:r>
        <w:t>SUBVENIO — When something is wrong, someone should know.</w:t>
      </w:r>
    </w:p>
    <w:p>
      <w:pPr>
        <w:pStyle w:val="ListBullet"/>
      </w:pPr>
      <w:r>
        <w:t>Long-form philosophy: Hope should not remain an idea. When danger appears, the system should turn hope into coordinated action.</w:t>
      </w:r>
    </w:p>
    <w:p>
      <w:pPr>
        <w:pStyle w:val="Heading1"/>
      </w:pPr>
      <w:r>
        <w:t>4. Product architecture</w:t>
      </w:r>
    </w:p>
    <w:p>
      <w:r>
        <w:t>The existing NADAA work should be preserved. The rebrand should not trigger a rewrite. The following capabilities should be implemented as modules around the existing emergency-response core.</w:t>
      </w:r>
    </w:p>
    <w:p>
      <w:pPr>
        <w:pStyle w:val="Heading2"/>
      </w:pPr>
      <w:r>
        <w:t>Beacon</w:t>
      </w:r>
    </w:p>
    <w:p>
      <w:r>
        <w:t>Manual or automated distress activation. A Beacon can be explicit, discreet, scheduled, sensor/risk-triggered, or generated after a failed safety check-in.</w:t>
      </w:r>
    </w:p>
    <w:p>
      <w:pPr>
        <w:pStyle w:val="Heading2"/>
      </w:pPr>
      <w:r>
        <w:t>Circle</w:t>
      </w:r>
    </w:p>
    <w:p>
      <w:r>
        <w:t>The user’s trusted network: family, friends, guardians, carers, colleagues or other chosen contacts.</w:t>
      </w:r>
    </w:p>
    <w:p>
      <w:pPr>
        <w:pStyle w:val="Heading2"/>
      </w:pPr>
      <w:r>
        <w:t>Responders</w:t>
      </w:r>
    </w:p>
    <w:p>
      <w:r>
        <w:t>Verified, trained community responders who may receive nearby incidents when appropriate. They are not vigilantes. Their purpose is observe, verify, communicate, de-escalate where safe, summon professional services and provide appropriate assistance.</w:t>
      </w:r>
    </w:p>
    <w:p>
      <w:pPr>
        <w:pStyle w:val="Heading2"/>
      </w:pPr>
      <w:r>
        <w:t>Dispatch</w:t>
      </w:r>
    </w:p>
    <w:p>
      <w:r>
        <w:t>The coordination layer that decides whom to alert, tracks acknowledgements, avoids responder pile-ups, escalates when nobody responds and provides a shared incident picture.</w:t>
      </w:r>
    </w:p>
    <w:p>
      <w:pPr>
        <w:pStyle w:val="Heading2"/>
      </w:pPr>
      <w:r>
        <w:t>Halo</w:t>
      </w:r>
    </w:p>
    <w:p>
      <w:r>
        <w:t>Consumer-facing name for safe boundaries/geofences and journey corridors. A Halo can represent home, school, campus, an event, a temporary meeting point or an expected travel route.</w:t>
      </w:r>
    </w:p>
    <w:p>
      <w:pPr>
        <w:pStyle w:val="Heading2"/>
      </w:pPr>
      <w:r>
        <w:t>Watch</w:t>
      </w:r>
    </w:p>
    <w:p>
      <w:r>
        <w:t>Proactive safety monitoring: expected arrival, journey progress, check-ins, Halo exits, prolonged inactivity or other configured risk signals.</w:t>
      </w:r>
    </w:p>
    <w:p>
      <w:pPr>
        <w:pStyle w:val="Heading2"/>
      </w:pPr>
      <w:r>
        <w:t>Vault</w:t>
      </w:r>
    </w:p>
    <w:p>
      <w:r>
        <w:t>Secure incident evidence and timeline preservation: alerts, acknowledgements, relevant location history, user-provided media and responder notes, subject to consent, privacy, retention and legal rules.</w:t>
      </w:r>
    </w:p>
    <w:p>
      <w:pPr>
        <w:pStyle w:val="Heading1"/>
      </w:pPr>
      <w:r>
        <w:t>5. Halo: safe-boundary module</w:t>
      </w:r>
    </w:p>
    <w:p>
      <w:r>
        <w:t>Halo should be treated as a major module, not a simple geofence. Parents or authorized guardians can define where a dependent is expected to be, but crossing the boundary must not automatically create a high-severity emergency. GPS drift, route changes and legitimate plan changes are common. A Halo breach is a risk signal that starts a staged verification process.</w:t>
      </w:r>
    </w:p>
    <w:p>
      <w:pPr>
        <w:pStyle w:val="Heading2"/>
      </w:pPr>
      <w:r>
        <w:t>Halo types</w:t>
      </w:r>
    </w:p>
    <w:p>
      <w:pPr>
        <w:pStyle w:val="ListBullet"/>
      </w:pPr>
      <w:r>
        <w:t>Fixed Halo — home, school, workplace, campus or neighbourhood.</w:t>
      </w:r>
    </w:p>
    <w:p>
      <w:pPr>
        <w:pStyle w:val="ListBullet"/>
      </w:pPr>
      <w:r>
        <w:t>Time-bound Halo — valid only during configured hours or dates.</w:t>
      </w:r>
    </w:p>
    <w:p>
      <w:pPr>
        <w:pStyle w:val="ListBullet"/>
      </w:pPr>
      <w:r>
        <w:t>Journey Halo — an expected route/corridor between two places.</w:t>
      </w:r>
    </w:p>
    <w:p>
      <w:pPr>
        <w:pStyle w:val="ListBullet"/>
      </w:pPr>
      <w:r>
        <w:t>Temporary Halo — a meeting, date, event, hike, trip or unfamiliar location.</w:t>
      </w:r>
    </w:p>
    <w:p>
      <w:pPr>
        <w:pStyle w:val="ListBullet"/>
      </w:pPr>
      <w:r>
        <w:t>Dynamic Halo — a contextual safe radius/corridor that moves with the user or journey.</w:t>
      </w:r>
    </w:p>
    <w:p>
      <w:pPr>
        <w:pStyle w:val="Heading2"/>
      </w:pPr>
      <w:r>
        <w:t>Example escalation</w:t>
      </w:r>
    </w:p>
    <w:p>
      <w:pPr>
        <w:pStyle w:val="ListNumber"/>
      </w:pPr>
      <w:r>
        <w:t>Detect meaningful boundary/route deviation after accounting for GPS uncertainty.</w:t>
      </w:r>
    </w:p>
    <w:p>
      <w:pPr>
        <w:pStyle w:val="ListNumber"/>
      </w:pPr>
      <w:r>
        <w:t>Request a discreet check-in from the user.</w:t>
      </w:r>
    </w:p>
    <w:p>
      <w:pPr>
        <w:pStyle w:val="ListNumber"/>
      </w:pPr>
      <w:r>
        <w:t>If acknowledged as safe, close or downgrade the event.</w:t>
      </w:r>
    </w:p>
    <w:p>
      <w:pPr>
        <w:pStyle w:val="ListNumber"/>
      </w:pPr>
      <w:r>
        <w:t>If ignored, failed, or answered with a duress response, notify trusted Circle members.</w:t>
      </w:r>
    </w:p>
    <w:p>
      <w:pPr>
        <w:pStyle w:val="ListNumber"/>
      </w:pPr>
      <w:r>
        <w:t>Increase the risk score using other signals rather than location alone.</w:t>
      </w:r>
    </w:p>
    <w:p>
      <w:pPr>
        <w:pStyle w:val="ListNumber"/>
      </w:pPr>
      <w:r>
        <w:t>Where policy permits, notify suitable nearby Responders.</w:t>
      </w:r>
    </w:p>
    <w:p>
      <w:pPr>
        <w:pStyle w:val="ListNumber"/>
      </w:pPr>
      <w:r>
        <w:t>Escalate to professional emergency services or designated authorities when thresholds and local integrations allow.</w:t>
      </w:r>
    </w:p>
    <w:p>
      <w:pPr>
        <w:pStyle w:val="Heading1"/>
      </w:pPr>
      <w:r>
        <w:t>6. Community responder module</w:t>
      </w:r>
    </w:p>
    <w:p>
      <w:r>
        <w:t>The original “trusted network only” model should be expanded with an opt-in community responder layer. The word “vigilante” must not appear in public product language. The system should encourage assistance and de-escalation, not confrontation.</w:t>
      </w:r>
    </w:p>
    <w:p>
      <w:pPr>
        <w:pStyle w:val="Heading2"/>
      </w:pPr>
      <w:r>
        <w:t>Responder principles</w:t>
      </w:r>
    </w:p>
    <w:p>
      <w:pPr>
        <w:pStyle w:val="ListBullet"/>
      </w:pPr>
      <w:r>
        <w:t>Verification and identity checks appropriate to the country.</w:t>
      </w:r>
    </w:p>
    <w:p>
      <w:pPr>
        <w:pStyle w:val="ListBullet"/>
      </w:pPr>
      <w:r>
        <w:t>Training before activation, with periodic recertification.</w:t>
      </w:r>
    </w:p>
    <w:p>
      <w:pPr>
        <w:pStyle w:val="ListBullet"/>
      </w:pPr>
      <w:r>
        <w:t>Clear levels of responder capability; not every responder receives every incident.</w:t>
      </w:r>
    </w:p>
    <w:p>
      <w:pPr>
        <w:pStyle w:val="ListBullet"/>
      </w:pPr>
      <w:r>
        <w:t>No expectation to pursue, detain, punish or physically confront suspects.</w:t>
      </w:r>
    </w:p>
    <w:p>
      <w:pPr>
        <w:pStyle w:val="ListBullet"/>
      </w:pPr>
      <w:r>
        <w:t>Observe and report first; intervene physically only where lawful, trained and necessary to protect life.</w:t>
      </w:r>
    </w:p>
    <w:p>
      <w:pPr>
        <w:pStyle w:val="ListBullet"/>
      </w:pPr>
      <w:r>
        <w:t>Professional emergency services remain the escalation destination for serious incidents.</w:t>
      </w:r>
    </w:p>
    <w:p>
      <w:pPr>
        <w:pStyle w:val="ListBullet"/>
      </w:pPr>
      <w:r>
        <w:t>Location privacy: responders receive only the information necessary for the active incident.</w:t>
      </w:r>
    </w:p>
    <w:p>
      <w:pPr>
        <w:pStyle w:val="ListBullet"/>
      </w:pPr>
      <w:r>
        <w:t>Audit trail, incident feedback, abuse reporting and suspension/revocation controls.</w:t>
      </w:r>
    </w:p>
    <w:p>
      <w:pPr>
        <w:pStyle w:val="ListBullet"/>
      </w:pPr>
      <w:r>
        <w:t>Responder safety is a first-class constraint; the system must not send civilians blindly into dangerous scenes.</w:t>
      </w:r>
    </w:p>
    <w:p>
      <w:pPr>
        <w:pStyle w:val="Heading2"/>
      </w:pPr>
      <w:r>
        <w:t>Potential responder tiers</w:t>
      </w:r>
    </w:p>
    <w:p>
      <w:pPr>
        <w:pStyle w:val="ListBullet"/>
      </w:pPr>
      <w:r>
        <w:t>Community Helper — trained in reporting, scene awareness and basic de-escalation.</w:t>
      </w:r>
    </w:p>
    <w:p>
      <w:pPr>
        <w:pStyle w:val="ListBullet"/>
      </w:pPr>
      <w:r>
        <w:t>First Aid Responder — verified first-aid/CPR capability.</w:t>
      </w:r>
    </w:p>
    <w:p>
      <w:pPr>
        <w:pStyle w:val="ListBullet"/>
      </w:pPr>
      <w:r>
        <w:t>Professional Responder — off-duty/participating medical, fire, security or other qualified personnel where lawful.</w:t>
      </w:r>
    </w:p>
    <w:p>
      <w:pPr>
        <w:pStyle w:val="ListBullet"/>
      </w:pPr>
      <w:r>
        <w:t>Institutional Responder — school, campus, workplace, venue or partner-organization safety personnel.</w:t>
      </w:r>
    </w:p>
    <w:p>
      <w:pPr>
        <w:pStyle w:val="Heading1"/>
      </w:pPr>
      <w:r>
        <w:t>7. Risk engine: intervene before the fatal moment</w:t>
      </w:r>
    </w:p>
    <w:p>
      <w:r>
        <w:t>The product should evolve from a panic-button model into a risk-detection and response-orchestration platform. No single signal should be treated as proof of danger. The engine combines weak signals and escalates proportionately.</w:t>
      </w:r>
    </w:p>
    <w:p>
      <w:pPr>
        <w:pStyle w:val="Heading2"/>
      </w:pPr>
      <w:r>
        <w:t>Possible signals</w:t>
      </w:r>
    </w:p>
    <w:p>
      <w:pPr>
        <w:pStyle w:val="ListBullet"/>
      </w:pPr>
      <w:r>
        <w:t>Unexpected Halo exit or route deviation.</w:t>
      </w:r>
    </w:p>
    <w:p>
      <w:pPr>
        <w:pStyle w:val="ListBullet"/>
      </w:pPr>
      <w:r>
        <w:t>Missed arrival or safety timer.</w:t>
      </w:r>
    </w:p>
    <w:p>
      <w:pPr>
        <w:pStyle w:val="ListBullet"/>
      </w:pPr>
      <w:r>
        <w:t>Failed or suspicious check-in.</w:t>
      </w:r>
    </w:p>
    <w:p>
      <w:pPr>
        <w:pStyle w:val="ListBullet"/>
      </w:pPr>
      <w:r>
        <w:t>Manual distress/duress activation.</w:t>
      </w:r>
    </w:p>
    <w:p>
      <w:pPr>
        <w:pStyle w:val="ListBullet"/>
      </w:pPr>
      <w:r>
        <w:t>Trusted-contact concern report.</w:t>
      </w:r>
    </w:p>
    <w:p>
      <w:pPr>
        <w:pStyle w:val="ListBullet"/>
      </w:pPr>
      <w:r>
        <w:t>Abrupt loss of connectivity after a pre-alert or active journey.</w:t>
      </w:r>
    </w:p>
    <w:p>
      <w:pPr>
        <w:pStyle w:val="ListBullet"/>
      </w:pPr>
      <w:r>
        <w:t>Unusual movement pattern during an active safety session, subject to careful validation.</w:t>
      </w:r>
    </w:p>
    <w:p>
      <w:pPr>
        <w:pStyle w:val="ListBullet"/>
      </w:pPr>
      <w:r>
        <w:t>Repeated risk events in a short window.</w:t>
      </w:r>
    </w:p>
    <w:p>
      <w:r>
        <w:t>High-risk automated decisions should be explainable and conservative. False positives can create panic, privacy harms and responder fatigue; false negatives can be much worse. The design should therefore use staged escalation, confidence levels and human confirmation wherever time permits.</w:t>
      </w:r>
    </w:p>
    <w:p>
      <w:pPr>
        <w:pStyle w:val="Heading1"/>
      </w:pPr>
      <w:r>
        <w:t>8. Safety, ethics and operational guardrails</w:t>
      </w:r>
    </w:p>
    <w:p>
      <w:pPr>
        <w:pStyle w:val="ListBullet"/>
      </w:pPr>
      <w:r>
        <w:t>Do not market the platform as guaranteeing rescue or preventing death.</w:t>
      </w:r>
    </w:p>
    <w:p>
      <w:pPr>
        <w:pStyle w:val="ListBullet"/>
      </w:pPr>
      <w:r>
        <w:t>Do not imply that community Responders replace police, ambulance, fire or other professional emergency services.</w:t>
      </w:r>
    </w:p>
    <w:p>
      <w:pPr>
        <w:pStyle w:val="ListBullet"/>
      </w:pPr>
      <w:r>
        <w:t>Design for de-escalation and life preservation, not pursuit or punishment.</w:t>
      </w:r>
    </w:p>
    <w:p>
      <w:pPr>
        <w:pStyle w:val="ListBullet"/>
      </w:pPr>
      <w:r>
        <w:t>Minimize location collection and retention; make monitoring explicit and understandable.</w:t>
      </w:r>
    </w:p>
    <w:p>
      <w:pPr>
        <w:pStyle w:val="ListBullet"/>
      </w:pPr>
      <w:r>
        <w:t>Provide strong controls for minors, guardianship, consent and changes in legal authority as children age.</w:t>
      </w:r>
    </w:p>
    <w:p>
      <w:pPr>
        <w:pStyle w:val="ListBullet"/>
      </w:pPr>
      <w:r>
        <w:t>Prevent abusive tracking by partners, relatives or stalkers; safety features themselves must not become surveillance tools.</w:t>
      </w:r>
    </w:p>
    <w:p>
      <w:pPr>
        <w:pStyle w:val="ListBullet"/>
      </w:pPr>
      <w:r>
        <w:t>Build anti-spoofing, false-report, responder-abuse and account-takeover controls.</w:t>
      </w:r>
    </w:p>
    <w:p>
      <w:pPr>
        <w:pStyle w:val="ListBullet"/>
      </w:pPr>
      <w:r>
        <w:t>Create country-specific response policies because emergency numbers, Good Samaritan rules, privacy law and responder authority differ.</w:t>
      </w:r>
    </w:p>
    <w:p>
      <w:pPr>
        <w:pStyle w:val="ListBullet"/>
      </w:pPr>
      <w:r>
        <w:t>Maintain incident auditability while protecting sensitive user data.</w:t>
      </w:r>
    </w:p>
    <w:p>
      <w:pPr>
        <w:pStyle w:val="ListBullet"/>
      </w:pPr>
      <w:r>
        <w:t>Run tabletop exercises and controlled pilots before public community-response activation.</w:t>
      </w:r>
    </w:p>
    <w:p>
      <w:pPr>
        <w:pStyle w:val="Heading1"/>
      </w:pPr>
      <w:r>
        <w:t>9. Suggested implementation sequence</w:t>
      </w:r>
    </w:p>
    <w:p>
      <w:pPr>
        <w:pStyle w:val="ListNumber"/>
      </w:pPr>
      <w:r>
        <w:t>Preserve and audit the existing NADAA codebase; document what already works before rebranding.</w:t>
      </w:r>
    </w:p>
    <w:p>
      <w:pPr>
        <w:pStyle w:val="ListNumber"/>
      </w:pPr>
      <w:r>
        <w:t>Introduce brand abstraction so names/assets can change without touching core emergency logic.</w:t>
      </w:r>
    </w:p>
    <w:p>
      <w:pPr>
        <w:pStyle w:val="ListNumber"/>
      </w:pPr>
      <w:r>
        <w:t>Implement Halo fixed zones and journey corridors with staged check-in escalation.</w:t>
      </w:r>
    </w:p>
    <w:p>
      <w:pPr>
        <w:pStyle w:val="ListNumber"/>
      </w:pPr>
      <w:r>
        <w:t>Formalize Circle roles and permissions.</w:t>
      </w:r>
    </w:p>
    <w:p>
      <w:pPr>
        <w:pStyle w:val="ListNumber"/>
      </w:pPr>
      <w:r>
        <w:t>Build the Responder domain model, verification, training state and eligibility rules.</w:t>
      </w:r>
    </w:p>
    <w:p>
      <w:pPr>
        <w:pStyle w:val="ListNumber"/>
      </w:pPr>
      <w:r>
        <w:t>Build Dispatch: proximity/skills matching, acceptance, timeout, reassignment and escalation.</w:t>
      </w:r>
    </w:p>
    <w:p>
      <w:pPr>
        <w:pStyle w:val="ListNumber"/>
      </w:pPr>
      <w:r>
        <w:t>Add incident timeline/Vault and responder reporting.</w:t>
      </w:r>
    </w:p>
    <w:p>
      <w:pPr>
        <w:pStyle w:val="ListNumber"/>
      </w:pPr>
      <w:r>
        <w:t>Create a configurable risk engine that combines signals instead of treating geofence exits as emergencies.</w:t>
      </w:r>
    </w:p>
    <w:p>
      <w:pPr>
        <w:pStyle w:val="ListNumber"/>
      </w:pPr>
      <w:r>
        <w:t>Add institutional/professional emergency-service integrations country by country.</w:t>
      </w:r>
    </w:p>
    <w:p>
      <w:pPr>
        <w:pStyle w:val="ListNumber"/>
      </w:pPr>
      <w:r>
        <w:t>Pilot in a constrained environment (for example, a campus, organization or defined community) before broad public activation.</w:t>
      </w:r>
    </w:p>
    <w:p>
      <w:pPr>
        <w:pStyle w:val="Heading1"/>
      </w:pPr>
      <w:r>
        <w:t>10. Naming decision and clearance</w:t>
      </w:r>
    </w:p>
    <w:p>
      <w:r>
        <w:t>Working decision: SUBVENIO is the preferred name at this stage because its classical meaning and sound align with the product better than the alternatives discussed. NOSTOS remains a useful philosophical concept: Subvenio is the act of coming to aid; Nostos is the outcome of returning home.</w:t>
      </w:r>
    </w:p>
    <w:p>
      <w:pPr>
        <w:pStyle w:val="Heading2"/>
      </w:pPr>
      <w:r>
        <w:t>Why not the constructed NOSTOS + SUBVENIO blends?</w:t>
      </w:r>
    </w:p>
    <w:p>
      <w:r>
        <w:t>NOSTIO, NOVEN, NOVENIO, VENOSTA and related blends were explored. NOVEN is already an established pharmaceutical brand with active U.S. registrations, while NOVENIO is already the name of an operating German group. A fabricated blend also loses some of the elegance of having a genuine ancient word with a defensible meaning. For those reasons, the recommendation is to keep SUBVENIO rather than force a portmanteau.</w:t>
      </w:r>
    </w:p>
    <w:p>
      <w:pPr>
        <w:pStyle w:val="Heading2"/>
      </w:pPr>
      <w:r>
        <w:t>Before public rebrand</w:t>
      </w:r>
    </w:p>
    <w:p>
      <w:pPr>
        <w:pStyle w:val="ListBullet"/>
      </w:pPr>
      <w:r>
        <w:t>Run a formal Ghana trademark search and legal clearance in the relevant software/safety/service classes.</w:t>
      </w:r>
    </w:p>
    <w:p>
      <w:pPr>
        <w:pStyle w:val="ListBullet"/>
      </w:pPr>
      <w:r>
        <w:t>Check planned African expansion markets and Madrid/WIPO strategy with trademark counsel.</w:t>
      </w:r>
    </w:p>
    <w:p>
      <w:pPr>
        <w:pStyle w:val="ListBullet"/>
      </w:pPr>
      <w:r>
        <w:t>Check exact and confusingly similar marks, not just exact spelling.</w:t>
      </w:r>
    </w:p>
    <w:p>
      <w:pPr>
        <w:pStyle w:val="ListBullet"/>
      </w:pPr>
      <w:r>
        <w:t>Check domains, social handles and App Store/Google Play names.</w:t>
      </w:r>
    </w:p>
    <w:p>
      <w:pPr>
        <w:pStyle w:val="ListBullet"/>
      </w:pPr>
      <w:r>
        <w:t>Run native-speaker/local-slang tests in Ghana and each first-wave market.</w:t>
      </w:r>
    </w:p>
    <w:p>
      <w:pPr>
        <w:pStyle w:val="ListBullet"/>
      </w:pPr>
      <w:r>
        <w:t>If SUBVENIO cannot be cleared, return to the semantic benchmark rather than compromising with a weak derivative: come to aid + safe return + another chance.</w:t>
      </w:r>
    </w:p>
    <w:p>
      <w:pPr>
        <w:pStyle w:val="Heading1"/>
      </w:pPr>
      <w:r>
        <w:t>11. Product vocabulary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Term</w:t>
            </w:r>
          </w:p>
        </w:tc>
        <w:tc>
          <w:tcPr>
            <w:tcW w:type="dxa" w:w="4968"/>
          </w:tcPr>
          <w:p>
            <w:r>
              <w:t>Meaning in product</w:t>
            </w:r>
          </w:p>
        </w:tc>
      </w:tr>
      <w:tr>
        <w:tc>
          <w:tcPr>
            <w:tcW w:type="dxa" w:w="4968"/>
          </w:tcPr>
          <w:p>
            <w:r>
              <w:t>SUBVENIO</w:t>
            </w:r>
          </w:p>
        </w:tc>
        <w:tc>
          <w:tcPr>
            <w:tcW w:type="dxa" w:w="4968"/>
          </w:tcPr>
          <w:p>
            <w:r>
              <w:t>Working master brand.</w:t>
            </w:r>
          </w:p>
        </w:tc>
      </w:tr>
      <w:tr>
        <w:tc>
          <w:tcPr>
            <w:tcW w:type="dxa" w:w="4968"/>
          </w:tcPr>
          <w:p>
            <w:r>
              <w:t>Beacon</w:t>
            </w:r>
          </w:p>
        </w:tc>
        <w:tc>
          <w:tcPr>
            <w:tcW w:type="dxa" w:w="4968"/>
          </w:tcPr>
          <w:p>
            <w:r>
              <w:t>Distress/pre-distress signal.</w:t>
            </w:r>
          </w:p>
        </w:tc>
      </w:tr>
      <w:tr>
        <w:tc>
          <w:tcPr>
            <w:tcW w:type="dxa" w:w="4968"/>
          </w:tcPr>
          <w:p>
            <w:r>
              <w:t>Circle</w:t>
            </w:r>
          </w:p>
        </w:tc>
        <w:tc>
          <w:tcPr>
            <w:tcW w:type="dxa" w:w="4968"/>
          </w:tcPr>
          <w:p>
            <w:r>
              <w:t>Trusted people chosen by the user.</w:t>
            </w:r>
          </w:p>
        </w:tc>
      </w:tr>
      <w:tr>
        <w:tc>
          <w:tcPr>
            <w:tcW w:type="dxa" w:w="4968"/>
          </w:tcPr>
          <w:p>
            <w:r>
              <w:t>Halo</w:t>
            </w:r>
          </w:p>
        </w:tc>
        <w:tc>
          <w:tcPr>
            <w:tcW w:type="dxa" w:w="4968"/>
          </w:tcPr>
          <w:p>
            <w:r>
              <w:t>Safe zone, boundary or journey corridor.</w:t>
            </w:r>
          </w:p>
        </w:tc>
      </w:tr>
      <w:tr>
        <w:tc>
          <w:tcPr>
            <w:tcW w:type="dxa" w:w="4968"/>
          </w:tcPr>
          <w:p>
            <w:r>
              <w:t>Watch</w:t>
            </w:r>
          </w:p>
        </w:tc>
        <w:tc>
          <w:tcPr>
            <w:tcW w:type="dxa" w:w="4968"/>
          </w:tcPr>
          <w:p>
            <w:r>
              <w:t>Proactive monitoring/check-in layer.</w:t>
            </w:r>
          </w:p>
        </w:tc>
      </w:tr>
      <w:tr>
        <w:tc>
          <w:tcPr>
            <w:tcW w:type="dxa" w:w="4968"/>
          </w:tcPr>
          <w:p>
            <w:r>
              <w:t>Responders</w:t>
            </w:r>
          </w:p>
        </w:tc>
        <w:tc>
          <w:tcPr>
            <w:tcW w:type="dxa" w:w="4968"/>
          </w:tcPr>
          <w:p>
            <w:r>
              <w:t>Verified and trained nearby helpers.</w:t>
            </w:r>
          </w:p>
        </w:tc>
      </w:tr>
      <w:tr>
        <w:tc>
          <w:tcPr>
            <w:tcW w:type="dxa" w:w="4968"/>
          </w:tcPr>
          <w:p>
            <w:r>
              <w:t>Dispatch</w:t>
            </w:r>
          </w:p>
        </w:tc>
        <w:tc>
          <w:tcPr>
            <w:tcW w:type="dxa" w:w="4968"/>
          </w:tcPr>
          <w:p>
            <w:r>
              <w:t>Matching, coordination and escalation engine.</w:t>
            </w:r>
          </w:p>
        </w:tc>
      </w:tr>
      <w:tr>
        <w:tc>
          <w:tcPr>
            <w:tcW w:type="dxa" w:w="4968"/>
          </w:tcPr>
          <w:p>
            <w:r>
              <w:t>Vault</w:t>
            </w:r>
          </w:p>
        </w:tc>
        <w:tc>
          <w:tcPr>
            <w:tcW w:type="dxa" w:w="4968"/>
          </w:tcPr>
          <w:p>
            <w:r>
              <w:t>Secure incident record/evidence store.</w:t>
            </w:r>
          </w:p>
        </w:tc>
      </w:tr>
      <w:tr>
        <w:tc>
          <w:tcPr>
            <w:tcW w:type="dxa" w:w="4968"/>
          </w:tcPr>
          <w:p>
            <w:r>
              <w:t>Nostos</w:t>
            </w:r>
          </w:p>
        </w:tc>
        <w:tc>
          <w:tcPr>
            <w:tcW w:type="dxa" w:w="4968"/>
          </w:tcPr>
          <w:p>
            <w:r>
              <w:t>Internal philosophical shorthand for the desired outcome: safe return/homecoming.</w:t>
            </w:r>
          </w:p>
        </w:tc>
      </w:tr>
    </w:tbl>
    <w:p>
      <w:pPr>
        <w:pStyle w:val="Heading1"/>
      </w:pPr>
      <w:r>
        <w:t>12. The north-star scenario</w:t>
      </w:r>
    </w:p>
    <w:p>
      <w:r>
        <w:t>A user begins a journey or enters a safety session. The platform knows the expected destination, time window and Halo. Something deviates. Rather than instantly declaring an emergency, SUBVENIO requests a discreet check-in. There is no safe response. The risk level rises. The Circle is informed, Dispatch finds appropriate nearby Responders, and professional services are escalated where required. Responders receive only the information needed to help, coordinate rather than swarm, and are guided toward observation, communication, first aid and de-escalation. The incident timeline is preserved. The goal is not to create heroes. The goal is to create enough awareness, coordination and time for the person to get another chance to come home.</w:t>
      </w:r>
    </w:p>
    <w:p>
      <w:pPr>
        <w:jc w:val="center"/>
      </w:pPr>
      <w:r>
        <w:rPr>
          <w:b/>
          <w:sz w:val="36"/>
        </w:rPr>
        <w:t>SUBVENIO</w:t>
        <w:br/>
        <w:t>Someone is coming.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Working strategy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Emergency Response Platform • Rebrand &amp;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