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jc w:val="center"/>
      </w:pPr>
      <w:r>
        <w:rPr>
          <w:b/>
          <w:bCs/>
          <w:color w:val="211509"/>
          <w:spacing w:val="60"/>
          <w:sz w:val="100"/>
          <w:szCs w:val="100"/>
        </w:rPr>
        <w:t xml:space="preserve">OBIARA</w:t>
      </w:r>
    </w:p>
    <w:p>
      <w:pPr>
        <w:spacing w:after="60" w:before="120"/>
        <w:jc w:val="center"/>
      </w:pPr>
      <w:r>
        <w:rPr>
          <w:color w:val="B94A2B"/>
          <w:sz w:val="34"/>
          <w:szCs w:val="34"/>
        </w:rPr>
        <w:t xml:space="preserve">The Build Pack · Package Guide</w:t>
      </w:r>
    </w:p>
    <w:p>
      <w:pPr>
        <w:spacing w:after="1500" w:before="40"/>
        <w:jc w:val="center"/>
      </w:pPr>
      <w:r>
        <w:rPr>
          <w:color w:val="7A6547"/>
          <w:sz w:val="22"/>
          <w:szCs w:val="22"/>
        </w:rPr>
        <w:t xml:space="preserve">Document 00 · Handover Index and Reading Order</w:t>
      </w:r>
    </w:p>
    <w:p>
      <w:pPr>
        <w:spacing w:after="40" w:before="1200"/>
        <w:jc w:val="center"/>
      </w:pPr>
      <w:r>
        <w:rPr>
          <w:color w:val="211509"/>
          <w:sz w:val="22"/>
          <w:szCs w:val="22"/>
        </w:rPr>
        <w:t xml:space="preserve">XCreativs Technologies Ltd · Accra, Ghana</w:t>
      </w:r>
    </w:p>
    <w:p>
      <w:pPr>
        <w:jc w:val="center"/>
      </w:pPr>
      <w:r>
        <w:rPr>
          <w:color w:val="7A6547"/>
          <w:sz w:val="20"/>
          <w:szCs w:val="20"/>
        </w:rPr>
        <w:t xml:space="preserve">July 2026 · Confidential · The Obiara Build Pack</w:t>
      </w:r>
    </w:p>
    <w:p>
      <w:r>
        <w:br w:type="page"/>
      </w:r>
    </w:p>
    <w:p>
      <w:pPr>
        <w:pStyle w:val="Heading1"/>
        <w:spacing w:after="200"/>
      </w:pPr>
      <w:r>
        <w:rPr>
          <w:color w:val="21150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60" w:before="0"/>
      </w:pPr>
      <w:r>
        <w:rPr>
          <w:color w:val="211509"/>
        </w:rPr>
        <w:t xml:space="preserve">1. WHAT THIS PACKAGE IS</w:t>
      </w:r>
    </w:p>
    <w:p>
      <w:pPr>
        <w:spacing w:after="160"/>
        <w:jc w:val="both"/>
      </w:pPr>
      <w:r>
        <w:rPr>
          <w:color w:val="3A2E1B"/>
        </w:rPr>
        <w:t xml:space="preserve">This is the complete pre-development handover for Obiara: thirteen documents that together move the project from vision to buildable specification. Volumes I and II are the constitution; Documents 01–11 are the law and the engineering orders derived from it. Read order for a new team member: Volume I → Volume II → this guide → Doc 01 (PRD) → your discipline’s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tblHeader/>
        </w:trPr>
        <w:tc>
          <w:tcPr>
            <w:tcW w:type="dxa" w:w="2350"/>
            <w:shd w:fill="F5E9D4" w:val="clear"/>
            <w:tcMar>
              <w:top w:type="dxa" w:w="90"/>
              <w:left w:type="dxa" w:w="130"/>
              <w:bottom w:type="dxa" w:w="90"/>
              <w:right w:type="dxa" w:w="130"/>
            </w:tcMar>
            <w:vAlign w:val="center"/>
          </w:tcPr>
          <w:p>
            <w:pPr>
              <w:spacing w:after="0"/>
            </w:pPr>
            <w:r>
              <w:rPr>
                <w:b/>
                <w:bCs/>
                <w:color w:val="211509"/>
                <w:sz w:val="19"/>
                <w:szCs w:val="19"/>
              </w:rPr>
              <w:t xml:space="preserve">#</w:t>
            </w:r>
          </w:p>
        </w:tc>
        <w:tc>
          <w:tcPr>
            <w:tcW w:type="dxa" w:w="2350"/>
            <w:shd w:fill="F5E9D4" w:val="clear"/>
            <w:tcMar>
              <w:top w:type="dxa" w:w="90"/>
              <w:left w:type="dxa" w:w="130"/>
              <w:bottom w:type="dxa" w:w="90"/>
              <w:right w:type="dxa" w:w="130"/>
            </w:tcMar>
            <w:vAlign w:val="center"/>
          </w:tcPr>
          <w:p>
            <w:pPr>
              <w:spacing w:after="0"/>
            </w:pPr>
            <w:r>
              <w:rPr>
                <w:b/>
                <w:bCs/>
                <w:color w:val="211509"/>
                <w:sz w:val="19"/>
                <w:szCs w:val="19"/>
              </w:rPr>
              <w:t xml:space="preserve">Document</w:t>
            </w:r>
          </w:p>
        </w:tc>
        <w:tc>
          <w:tcPr>
            <w:tcW w:type="dxa" w:w="2350"/>
            <w:shd w:fill="F5E9D4" w:val="clear"/>
            <w:tcMar>
              <w:top w:type="dxa" w:w="90"/>
              <w:left w:type="dxa" w:w="130"/>
              <w:bottom w:type="dxa" w:w="90"/>
              <w:right w:type="dxa" w:w="130"/>
            </w:tcMar>
            <w:vAlign w:val="center"/>
          </w:tcPr>
          <w:p>
            <w:pPr>
              <w:spacing w:after="0"/>
            </w:pPr>
            <w:r>
              <w:rPr>
                <w:b/>
                <w:bCs/>
                <w:color w:val="211509"/>
                <w:sz w:val="19"/>
                <w:szCs w:val="19"/>
              </w:rPr>
              <w:t xml:space="preserve">One-line purpose</w:t>
            </w:r>
          </w:p>
        </w:tc>
        <w:tc>
          <w:tcPr>
            <w:tcW w:type="dxa" w:w="2350"/>
            <w:shd w:fill="F5E9D4" w:val="clear"/>
            <w:tcMar>
              <w:top w:type="dxa" w:w="90"/>
              <w:left w:type="dxa" w:w="130"/>
              <w:bottom w:type="dxa" w:w="90"/>
              <w:right w:type="dxa" w:w="130"/>
            </w:tcMar>
            <w:vAlign w:val="center"/>
          </w:tcPr>
          <w:p>
            <w:pPr>
              <w:spacing w:after="0"/>
            </w:pPr>
            <w:r>
              <w:rPr>
                <w:b/>
                <w:bCs/>
                <w:color w:val="211509"/>
                <w:sz w:val="19"/>
                <w:szCs w:val="19"/>
              </w:rPr>
              <w:t xml:space="preserve">Primary readers</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Vol I</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Founding Blueprint</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Strategy, research, platform concept</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Everyone (mandatory)</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Vol II</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Interaction Model</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The Fie, seeds, fires, weave — how hands touch it</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Everyone (mandatory)</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01</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Product Requirements (PRD)</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Feature bible: modules, stories, acceptance criteria</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Product, all engineering, QA</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02</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Software Requirements (SRS)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Testable FR/NFR contracts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Engineering, QA, security</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03</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Revenue &amp; Pricing Model</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Price points, billing, unit economics, projections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Founders, finance, payments squad</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04</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MVP Scope &amp; Release Plan</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Phase cut lines and exit metrics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Everyone building</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05</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Brand &amp; Visual Design Language</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Tokens, type, color, motion, sound (logo pending)</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Design, mobile engineers, marketing</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06</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UX Flows &amp; Screen Specs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Screen-by-screen contract (S-01…S-90)</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Design, mobile, QA</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07</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Technical Architecture</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Topology, subsystems, integrations, costs</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Engineering leadership, DevOps</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08</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Data Model &amp; AI Specification</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Obi Graph, events, suban, three AI systems, consent map</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Backend, AI, analytics</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09</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Trust &amp; Safety + Compliance</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Policy, panels, care, Ghana legal pack</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T&amp;S, legal, leadership</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10</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Content &amp; Localization Pack</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Voice, registry, scripts, okyeame bible</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Writers, localization, design</w:t>
            </w:r>
          </w:p>
        </w:tc>
      </w:tr>
      <w:tr>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11</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Launch Operations Plan</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Hosts, matchmakers, First Families, calendar</w:t>
            </w:r>
          </w:p>
        </w:tc>
        <w:tc>
          <w:tcPr>
            <w:tcW w:type="dxa" w:w="2350"/>
            <w:tcMar>
              <w:top w:type="dxa" w:w="90"/>
              <w:left w:type="dxa" w:w="130"/>
              <w:bottom w:type="dxa" w:w="90"/>
              <w:right w:type="dxa" w:w="130"/>
            </w:tcMar>
            <w:vAlign w:val="center"/>
          </w:tcPr>
          <w:p>
            <w:pPr>
              <w:spacing w:after="0"/>
            </w:pPr>
            <w:r>
              <w:rPr>
                <w:b w:val="false"/>
                <w:bCs w:val="false"/>
                <w:color w:val="3A2E1B"/>
                <w:sz w:val="19"/>
                <w:szCs w:val="19"/>
              </w:rPr>
              <w:t xml:space="preserve">Community ops, marketing</w:t>
            </w:r>
          </w:p>
        </w:tc>
      </w:tr>
    </w:tbl>
    <w:p>
      <w:pPr>
        <w:pStyle w:val="Heading1"/>
        <w:pageBreakBefore/>
        <w:spacing w:after="260" w:before="0"/>
      </w:pPr>
      <w:r>
        <w:rPr>
          <w:color w:val="211509"/>
        </w:rPr>
        <w:t xml:space="preserve">2. THE TEN PRODUCT LAWS (POSTER VERSION — PIN ABOVE EVERY DESK)</w:t>
      </w:r>
    </w:p>
    <w:p>
      <w:pPr>
        <w:pStyle w:val="ListParagraph"/>
        <w:numPr>
          <w:ilvl w:val="0"/>
          <w:numId w:val="2"/>
        </w:numPr>
        <w:spacing w:after="130"/>
      </w:pPr>
      <w:r>
        <w:rPr>
          <w:color w:val="3A2E1B"/>
        </w:rPr>
        <w:t xml:space="preserve">Intent over inventory.</w:t>
      </w:r>
    </w:p>
    <w:p>
      <w:pPr>
        <w:pStyle w:val="ListParagraph"/>
        <w:numPr>
          <w:ilvl w:val="0"/>
          <w:numId w:val="2"/>
        </w:numPr>
        <w:spacing w:after="130"/>
      </w:pPr>
      <w:r>
        <w:rPr>
          <w:color w:val="3A2E1B"/>
        </w:rPr>
        <w:t xml:space="preserve">Introduction over discovery.</w:t>
      </w:r>
    </w:p>
    <w:p>
      <w:pPr>
        <w:pStyle w:val="ListParagraph"/>
        <w:numPr>
          <w:ilvl w:val="0"/>
          <w:numId w:val="2"/>
        </w:numPr>
        <w:spacing w:after="130"/>
      </w:pPr>
      <w:r>
        <w:rPr>
          <w:color w:val="3A2E1B"/>
        </w:rPr>
        <w:t xml:space="preserve">Voice over text.</w:t>
      </w:r>
    </w:p>
    <w:p>
      <w:pPr>
        <w:pStyle w:val="ListParagraph"/>
        <w:numPr>
          <w:ilvl w:val="0"/>
          <w:numId w:val="2"/>
        </w:numPr>
        <w:spacing w:after="130"/>
      </w:pPr>
      <w:r>
        <w:rPr>
          <w:color w:val="3A2E1B"/>
        </w:rPr>
        <w:t xml:space="preserve">Character over appearance.</w:t>
      </w:r>
    </w:p>
    <w:p>
      <w:pPr>
        <w:pStyle w:val="ListParagraph"/>
        <w:numPr>
          <w:ilvl w:val="0"/>
          <w:numId w:val="2"/>
        </w:numPr>
        <w:spacing w:after="130"/>
      </w:pPr>
      <w:r>
        <w:rPr>
          <w:color w:val="3A2E1B"/>
        </w:rPr>
        <w:t xml:space="preserve">Circles over profiles.</w:t>
      </w:r>
    </w:p>
    <w:p>
      <w:pPr>
        <w:pStyle w:val="ListParagraph"/>
        <w:numPr>
          <w:ilvl w:val="0"/>
          <w:numId w:val="2"/>
        </w:numPr>
        <w:spacing w:after="130"/>
      </w:pPr>
      <w:r>
        <w:rPr>
          <w:color w:val="3A2E1B"/>
        </w:rPr>
        <w:t xml:space="preserve">Ceremony over gamification.</w:t>
      </w:r>
    </w:p>
    <w:p>
      <w:pPr>
        <w:pStyle w:val="ListParagraph"/>
        <w:numPr>
          <w:ilvl w:val="0"/>
          <w:numId w:val="2"/>
        </w:numPr>
        <w:spacing w:after="130"/>
      </w:pPr>
      <w:r>
        <w:rPr>
          <w:color w:val="3A2E1B"/>
        </w:rPr>
        <w:t xml:space="preserve">Slow is sacred.</w:t>
      </w:r>
    </w:p>
    <w:p>
      <w:pPr>
        <w:pStyle w:val="ListParagraph"/>
        <w:numPr>
          <w:ilvl w:val="0"/>
          <w:numId w:val="2"/>
        </w:numPr>
        <w:spacing w:after="130"/>
      </w:pPr>
      <w:r>
        <w:rPr>
          <w:color w:val="3A2E1B"/>
        </w:rPr>
        <w:t xml:space="preserve">Reputation is capital.</w:t>
      </w:r>
    </w:p>
    <w:p>
      <w:pPr>
        <w:pStyle w:val="ListParagraph"/>
        <w:numPr>
          <w:ilvl w:val="0"/>
          <w:numId w:val="2"/>
        </w:numPr>
        <w:spacing w:after="130"/>
      </w:pPr>
      <w:r>
        <w:rPr>
          <w:color w:val="3A2E1B"/>
        </w:rPr>
        <w:t xml:space="preserve">Measure unions, not minutes.</w:t>
      </w:r>
    </w:p>
    <w:p>
      <w:pPr>
        <w:pStyle w:val="ListParagraph"/>
        <w:numPr>
          <w:ilvl w:val="0"/>
          <w:numId w:val="2"/>
        </w:numPr>
        <w:spacing w:after="130"/>
      </w:pPr>
      <w:r>
        <w:rPr>
          <w:color w:val="3A2E1B"/>
        </w:rPr>
        <w:t xml:space="preserve">The community is the algorithm.</w:t>
      </w:r>
    </w:p>
    <w:p>
      <w:pPr>
        <w:spacing w:after="160"/>
        <w:jc w:val="both"/>
      </w:pPr>
      <w:r>
        <w:rPr>
          <w:color w:val="3A2E1B"/>
        </w:rPr>
        <w:t xml:space="preserve">Plus the three hard technicals every engineer can recite: seeds are never sold; conversations strictly alternate; no member-to-member money, ever.</w:t>
      </w:r>
    </w:p>
    <w:p>
      <w:pPr>
        <w:pStyle w:val="Heading1"/>
        <w:pageBreakBefore/>
        <w:spacing w:after="260" w:before="0"/>
      </w:pPr>
      <w:r>
        <w:rPr>
          <w:color w:val="211509"/>
        </w:rPr>
        <w:t xml:space="preserve">3. OPEN DECISIONS REGISTER (FOUNDER-LEVEL)</w:t>
      </w:r>
    </w:p>
    <w:p>
      <w:pPr>
        <w:pStyle w:val="ListParagraph"/>
        <w:numPr>
          <w:ilvl w:val="0"/>
          <w:numId w:val="3"/>
        </w:numPr>
        <w:spacing w:after="120"/>
      </w:pPr>
      <w:r>
        <w:rPr>
          <w:color w:val="3A2E1B"/>
        </w:rPr>
        <w:t xml:space="preserve">Logo selection from the seven-concept exploration (design integration budgeted at two days post-decision).</w:t>
      </w:r>
    </w:p>
    <w:p>
      <w:pPr>
        <w:pStyle w:val="ListParagraph"/>
        <w:numPr>
          <w:ilvl w:val="0"/>
          <w:numId w:val="3"/>
        </w:numPr>
        <w:spacing w:after="120"/>
      </w:pPr>
      <w:r>
        <w:rPr>
          <w:color w:val="3A2E1B"/>
        </w:rPr>
        <w:t xml:space="preserve">Backend language final call (Kotlin/Spring vs NestJS) — decide with the hired lead’s strength (Doc 07 §2).</w:t>
      </w:r>
    </w:p>
    <w:p>
      <w:pPr>
        <w:pStyle w:val="ListParagraph"/>
        <w:numPr>
          <w:ilvl w:val="0"/>
          <w:numId w:val="3"/>
        </w:numPr>
        <w:spacing w:after="120"/>
      </w:pPr>
      <w:r>
        <w:rPr>
          <w:color w:val="3A2E1B"/>
        </w:rPr>
        <w:t xml:space="preserve">ID-verification partner and MoMo aggregator commercial selection (shortlists in Doc 07 §6).</w:t>
      </w:r>
    </w:p>
    <w:p>
      <w:pPr>
        <w:pStyle w:val="ListParagraph"/>
        <w:numPr>
          <w:ilvl w:val="0"/>
          <w:numId w:val="3"/>
        </w:numPr>
        <w:spacing w:after="120"/>
      </w:pPr>
      <w:r>
        <w:rPr>
          <w:color w:val="3A2E1B"/>
        </w:rPr>
        <w:t xml:space="preserve">Twi TTS route for the okyeame voice (partner vs fine-tune) — quality bar in Doc 08 §6.</w:t>
      </w:r>
    </w:p>
    <w:p>
      <w:pPr>
        <w:pStyle w:val="ListParagraph"/>
        <w:numPr>
          <w:ilvl w:val="0"/>
          <w:numId w:val="3"/>
        </w:numPr>
        <w:spacing w:after="120"/>
      </w:pPr>
      <w:r>
        <w:rPr>
          <w:color w:val="3A2E1B"/>
        </w:rPr>
        <w:t xml:space="preserve">Legal entity/licensing counsel engagement for payments posture (Doc 09 §7).</w:t>
      </w:r>
    </w:p>
    <w:p>
      <w:pPr>
        <w:pStyle w:val="Heading1"/>
        <w:pageBreakBefore/>
        <w:spacing w:after="260" w:before="0"/>
      </w:pPr>
      <w:r>
        <w:rPr>
          <w:color w:val="211509"/>
        </w:rPr>
        <w:t xml:space="preserve">4. HOW TO RUN THE HANDOVER (RECOMMENDED FIRST TWO WEEKS)</w:t>
      </w:r>
    </w:p>
    <w:p>
      <w:pPr>
        <w:pStyle w:val="ListParagraph"/>
        <w:numPr>
          <w:ilvl w:val="0"/>
          <w:numId w:val="4"/>
        </w:numPr>
        <w:spacing w:after="130"/>
      </w:pPr>
      <w:r>
        <w:rPr>
          <w:color w:val="3A2E1B"/>
        </w:rPr>
        <w:t xml:space="preserve">Day 1–2: full-team reading of Volumes I–II; founder walkthrough of the ten laws and the why.</w:t>
      </w:r>
    </w:p>
    <w:p>
      <w:pPr>
        <w:pStyle w:val="ListParagraph"/>
        <w:numPr>
          <w:ilvl w:val="0"/>
          <w:numId w:val="4"/>
        </w:numPr>
        <w:spacing w:after="130"/>
      </w:pPr>
      <w:r>
        <w:rPr>
          <w:color w:val="3A2E1B"/>
        </w:rPr>
        <w:t xml:space="preserve">Day 3–5: squad-by-squad PRD/SRS deep dives; every squad returns questions in writing against requirement IDs.</w:t>
      </w:r>
    </w:p>
    <w:p>
      <w:pPr>
        <w:pStyle w:val="ListParagraph"/>
        <w:numPr>
          <w:ilvl w:val="0"/>
          <w:numId w:val="4"/>
        </w:numPr>
        <w:spacing w:after="130"/>
      </w:pPr>
      <w:r>
        <w:rPr>
          <w:color w:val="3A2E1B"/>
        </w:rPr>
        <w:t xml:space="preserve">Week 2: architecture spike reviews (alternation engine, voice pipeline, LiveKit PoC), design token setup, S-01…S-23 wireframes, First Families outreach begins (ops does not wait for code).</w:t>
      </w:r>
    </w:p>
    <w:p>
      <w:pPr>
        <w:pStyle w:val="ListParagraph"/>
        <w:numPr>
          <w:ilvl w:val="0"/>
          <w:numId w:val="4"/>
        </w:numPr>
        <w:spacing w:after="130"/>
      </w:pPr>
      <w:r>
        <w:rPr>
          <w:color w:val="3A2E1B"/>
        </w:rPr>
        <w:t xml:space="preserve">Standing rhythm from week 1: the Auntie Review (Doc 04 §6) every Friday. Nothing ships past it.</w:t>
      </w:r>
    </w:p>
    <w:p>
      <w:pPr>
        <w:spacing w:after="160"/>
        <w:jc w:val="both"/>
      </w:pPr>
      <w:r>
        <w:rPr>
          <w:color w:val="3A2E1B"/>
        </w:rPr>
        <w:t xml:space="preserve">A closing word to the team from the strategy desk: you are not building an app that Africans can use. You are building the first platform that was ever built the way Africa already works. Build it like your own family will meet on it — because, if we do this right, they will.</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94A2B"/>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sz w:val="34"/>
      <w:szCs w:val="34"/>
    </w:rPr>
  </w:style>
  <w:style w:type="paragraph" w:styleId="Heading2">
    <w:name w:val="Heading 2"/>
    <w:basedOn w:val="Normal"/>
    <w:next w:val="Normal"/>
    <w:qFormat/>
    <w:rPr>
      <w:rFonts w:ascii="Georgia" w:cs="Georgia" w:eastAsia="Georgia" w:hAnsi="Georgia"/>
      <w:b/>
      <w:bCs/>
      <w:sz w:val="27"/>
      <w:szCs w:val="27"/>
    </w:rPr>
  </w:style>
  <w:style w:type="paragraph" w:styleId="Heading3">
    <w:name w:val="Heading 3"/>
    <w:basedOn w:val="Normal"/>
    <w:next w:val="Normal"/>
    <w:qFormat/>
    <w:rPr>
      <w:rFonts w:ascii="Georgia" w:cs="Georgia" w:eastAsia="Georgia" w:hAnsi="Georgia"/>
      <w:b/>
      <w:bCs/>
      <w:i/>
      <w:i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2026-07-17T00:20:58.081Z</dcterms:created>
  <dcterms:modified xsi:type="dcterms:W3CDTF">2026-07-17T00:20:58.082Z</dcterms:modified>
</cp:coreProperties>
</file>

<file path=docProps/custom.xml><?xml version="1.0" encoding="utf-8"?>
<Properties xmlns="http://schemas.openxmlformats.org/officeDocument/2006/custom-properties" xmlns:vt="http://schemas.openxmlformats.org/officeDocument/2006/docPropsVTypes"/>
</file>