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Software Requirements Specification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02 · Functional and Non-Functional Requirements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INTRODUCTION</w:t>
      </w:r>
    </w:p>
    <w:p>
      <w:pPr>
        <w:spacing w:after="160"/>
        <w:jc w:val="both"/>
      </w:pPr>
      <w:r>
        <w:rPr>
          <w:color w:val="3A2E1B"/>
        </w:rPr>
        <w:t xml:space="preserve">This SRS states requirements in verifiable form for the Obiara platform. Functional requirements (FR) reference PRD modules (Doc 01); non-functional requirements (NFR) bind the whole system. Language follows RFC-2119: MUST, SHOULD, MAY. Every FR/NFR is a testable contract; QA derives its test plan directly from these IDs.</w:t>
      </w:r>
    </w:p>
    <w:p>
      <w:pPr>
        <w:spacing w:after="160"/>
        <w:jc w:val="both"/>
      </w:pPr>
      <w:r>
        <w:rPr>
          <w:color w:val="3A2E1B"/>
        </w:rPr>
        <w:t xml:space="preserve">System context: Android app (primary), iOS app, WhatsApp bot, USSD gateway, admin web console, backend services, AI services (Doc 08), third-party integrations: national ID verification provider, MTN MoMo / Telecel Cash / AT Money aggregation, WhatsApp Business API, SMS aggregator, push services, CDN.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2. FUNCTIONAL REQUIREMENTS (CONDENSED CONTRACT FORM)</w:t>
      </w:r>
    </w:p>
    <w:p>
      <w:pPr>
        <w:pStyle w:val="Heading3"/>
        <w:spacing w:after="140" w:before="260"/>
      </w:pPr>
      <w:r>
        <w:rPr>
          <w:color w:val="211509"/>
        </w:rPr>
        <w:t xml:space="preserve">FR-100 Identity &amp; Account (PRD M1)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FR-101 The system MUST prevent any romantic-surface access (Introductions, doorway, rooms, fires) below Tier 1, and any sowing below Tier 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FR-102 The system MUST verify national ID authenticity against the issuer service and bind exactly one active account per ID number.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FR-103 Liveness MUST combine randomized spoken-phrase voice capture and face challenge; the pipeline MUST reject presented media (photo/video/deepfake) at the thresholds set in Doc 08 §Sentinel-Liveness, and MUST fall back to human review queue rather than silent pass on model uncertainty.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FR-104 Age computed from ID MUST be ≥18; failures MUST hard-block and purge biometric/ID artifacts within 24 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FR-105 Vouch attestations MUST be immutable, timestamped, and linked to voucher suban records.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FR-106 Data export MUST deliver a complete machine-readable archive within 72 h of request; deletion MUST complete within 30 days with cryptographic erasure of voice/biometric blobs.</w:t>
      </w:r>
    </w:p>
    <w:p>
      <w:pPr>
        <w:pStyle w:val="Heading3"/>
        <w:spacing w:after="140" w:before="260"/>
      </w:pPr>
      <w:r>
        <w:rPr>
          <w:color w:val="211509"/>
        </w:rPr>
        <w:t xml:space="preserve">FR-200 Seed Economy (PRD M4)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FR-201 Seed allowance MUST be enforced server-side; client-side state is advisory only. Purchase paths for allowance MUST NOT exist in code, config, or store SKUs.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FR-202 Sow MUST require ≥20 s cumulative playback of the target’s Voice of Introduction, verified server-side by playback telemetry.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FR-203 Declined-doorway re-sow MUST be blocked for 90 days at API level.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FR-204 Sow audio MUST pass Sentinel pre-delivery screening ≤10 s p95; rejects MUST return the seed unspent with a reason code.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FR-205 Pod playback receipts MUST NOT expose partial-listen events to sowers.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FR-206 The three-exchange doorway cap and mutual-water room creation MUST be state-machine enforced; race conditions (simultaneous water) MUST resolve to a single room.</w:t>
      </w:r>
    </w:p>
    <w:p>
      <w:pPr>
        <w:pStyle w:val="Heading3"/>
        <w:spacing w:after="140" w:before="260"/>
      </w:pPr>
      <w:r>
        <w:rPr>
          <w:color w:val="211509"/>
        </w:rPr>
        <w:t xml:space="preserve">FR-300 Rooms &amp; Alternation (PRD M5)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FR-301 The alternation engine MUST make consecutive sends by one party impossible at the API layer, including under offline queueing, retries, and multi-device sessions.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FR-302 Response-window expiries, pause stones, re-light, and closure MUST follow the room state machine (Doc 08 §States) with all transitions audited.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FR-303 The active-rooms honesty count MUST be computed server-side and MUST NOT be suppressible by any tier or purchase.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FR-304 In-app calls MUST NOT reveal phone numbers; call metadata retention per Doc 09 retention table.</w:t>
      </w:r>
    </w:p>
    <w:p>
      <w:pPr>
        <w:pStyle w:val="Heading3"/>
        <w:spacing w:after="140" w:before="260"/>
      </w:pPr>
      <w:r>
        <w:rPr>
          <w:color w:val="211509"/>
        </w:rPr>
        <w:t xml:space="preserve">FR-400 Fires (PRD M9)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FR-401 Fire entry MUST require Tier 1+; capacity, waitlist, and eject MUST be host-controllable in real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FR-402 Ember issuance MUST be limited to one per attendee per fire, redeemable 24 h, co-attendees only.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FR-403 Live audio MUST degrade to listen-only rather than drop below bandwidth floors (NFR-3xx).</w:t>
      </w:r>
    </w:p>
    <w:p>
      <w:pPr>
        <w:pStyle w:val="Heading3"/>
        <w:spacing w:after="140" w:before="260"/>
      </w:pPr>
      <w:r>
        <w:rPr>
          <w:color w:val="211509"/>
        </w:rPr>
        <w:t xml:space="preserve">FR-500 Games (PRD M8)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FR-501 Oware move legality MUST be server-validated; ratings MUST use Glicko-2 with parameters in Doc 08.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FR-502 Game conduct signals MAY feed suban only per the consent map; game skill MUST NOT affect matching.</w:t>
      </w:r>
    </w:p>
    <w:p>
      <w:pPr>
        <w:pStyle w:val="Heading3"/>
        <w:spacing w:after="140" w:before="260"/>
      </w:pPr>
      <w:r>
        <w:rPr>
          <w:color w:val="211509"/>
        </w:rPr>
        <w:t xml:space="preserve">FR-600 Commerce (Doc 03 binding)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FR-601 All member payments MUST route through the MoMo aggregation layer with idempotent, reconciled ledger entries; no card-only flows for Ghana v1.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FR-602 Member-to-member payment, gifting, or payment-detail exchange MUST be technically blocked pre-commitment milestones (Sika Shield), including pattern-detected attempts in voice/text per Doc 08.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FR-603 Subscriptions and passes MUST cancel in one tap with immediate effect confirmation; no dark-pattern retention flows.</w:t>
      </w:r>
    </w:p>
    <w:p>
      <w:pPr>
        <w:pStyle w:val="Heading3"/>
        <w:spacing w:after="140" w:before="260"/>
      </w:pPr>
      <w:r>
        <w:rPr>
          <w:color w:val="211509"/>
        </w:rPr>
        <w:t xml:space="preserve">FR-700 Companions (PRD M12)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FR-701 WhatsApp bot flows MUST carry OTP-gated identity and MUST NOT transmit room content beyond consented Gate packs and pod voice forwards to the member’s own verified number.</w:t>
      </w:r>
    </w:p>
    <w:p>
      <w:pPr>
        <w:pStyle w:val="Heading3"/>
        <w:spacing w:after="140" w:before="260"/>
      </w:pPr>
      <w:r>
        <w:rPr>
          <w:color w:val="211509"/>
        </w:rPr>
        <w:t xml:space="preserve">FR-800 Admin (PRD M13)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FR-801 All admin actions MUST be least-privilege, MFA-gated, and immutably audited; T&amp;S evidence views MUST apply automatic redaction of non-case parties.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3. NON-FUNCTIONAL REQUIREMENTS</w:t>
      </w:r>
    </w:p>
    <w:p>
      <w:pPr>
        <w:pStyle w:val="Heading3"/>
        <w:spacing w:after="140" w:before="260"/>
      </w:pPr>
      <w:r>
        <w:rPr>
          <w:color w:val="211509"/>
        </w:rPr>
        <w:t xml:space="preserve">NFR-100 Performance on the true device (budget Android, 3G)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NFR-101 Cold start ≤3.5 s p90 on the reference device class (2 GB RAM, Android 8); warm start ≤1.2 s p90.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NFR-102 App size ≤35 MB initial download; language/market packs lazy-loaded.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NFR-103 Voice notes: Opus at 16–24 kbps adaptive, ≤2 s p90 start-to-record, ≤3 s p90 send-on-3G for 60 s note; progressive playback start ≤1.5 s p90.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NFR-104 Fire audio mouth-to-ear latency ≤400 ms p90 in-country; jitter-buffer auto-degrade to listen-only at sustained &lt;32 kbps.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NFR-105 Data budget: median daily active usage (non-fire) ≤15 MB; a 90-minute fire ≤45 MB audio-only.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NFR-106 Offline grace: compose-and-queue for voice replies and oware moves; full state reconciliation without duplication on reconnect.</w:t>
      </w:r>
    </w:p>
    <w:p>
      <w:pPr>
        <w:pStyle w:val="Heading3"/>
        <w:spacing w:after="140" w:before="260"/>
      </w:pPr>
      <w:r>
        <w:rPr>
          <w:color w:val="211509"/>
        </w:rPr>
        <w:t xml:space="preserve">NFR-200 Availability &amp; scale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NFR-201 Core services 99.9% monthly; fire window (18:30–22:30 local) engineered as peak class with 99.95% target and surge capacity 5× median DAU concurrency.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NFR-202 Horizontal scale path to 1 M MAU / 150 k fire-hour concurrent listeners without architectural change (Doc 07).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NFR-203 RPO ≤5 min, RTO ≤60 min; nightly cross-region encrypted backups.</w:t>
      </w:r>
    </w:p>
    <w:p>
      <w:pPr>
        <w:pStyle w:val="Heading3"/>
        <w:spacing w:after="140" w:before="260"/>
      </w:pPr>
      <w:r>
        <w:rPr>
          <w:color w:val="211509"/>
        </w:rPr>
        <w:t xml:space="preserve">NFR-300 Security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NFR-301 TLS 1.3 everywhere; AES-256 at rest; voice/biometric blobs envelope-encrypted with per-user keys; room content E2E-encrypted with safety-processing design per Doc 09 consent architecture.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NFR-302 OWASP MASVS-L2 for clients; ASVS-L2 for services; annual external penetration test; secrets in managed vault; SSO+MFA for all internal access.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NFR-303 Anti-abuse: rate limits per endpoint class; device attestation (Play Integrity/App Attest); emulator/root risk scoring feeding Sentinel.</w:t>
      </w:r>
    </w:p>
    <w:p>
      <w:pPr>
        <w:pStyle w:val="Heading3"/>
        <w:spacing w:after="140" w:before="260"/>
      </w:pPr>
      <w:r>
        <w:rPr>
          <w:color w:val="211509"/>
        </w:rPr>
        <w:t xml:space="preserve">NFR-400 Privacy &amp; compliance (binding summary; full text Doc 09)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NFR-401 Ghana Data Protection Act 2012 (Act 843) registration and compliance; data residency for member content in-region with approved DR replica; DPIA before launch and before each new AI processing purpose.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NFR-402 Purpose-bound processing: matching, safety, and product-analytics purposes separated with distinct consent states; no third-party data sale or ad-tech SDKs — MUST NOT ship any advertising or cross-app tracking SDK.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NFR-403 Biometric templates used only for liveness/dedup; never for matching; retention per Doc 09 table.</w:t>
      </w:r>
    </w:p>
    <w:p>
      <w:pPr>
        <w:pStyle w:val="Heading3"/>
        <w:spacing w:after="140" w:before="260"/>
      </w:pPr>
      <w:r>
        <w:rPr>
          <w:color w:val="211509"/>
        </w:rPr>
        <w:t xml:space="preserve">NFR-500 Localization &amp; accessibility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NFR-501 Full string externalization; launch languages: English, Twi, Pidgin; fast-follow: Ga, Ewe, Hausa; RTL-ready framework for future Arabic markets.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NFR-502 All member flows operable voice-first and one-handed; TalkBack/VoiceOver complete; minimum touch target 48 dp; caption support at fires; WCAG 2.2 AA contrast using Doc 05 tokens.</w:t>
      </w:r>
    </w:p>
    <w:p>
      <w:pPr>
        <w:pStyle w:val="Heading3"/>
        <w:spacing w:after="140" w:before="260"/>
      </w:pPr>
      <w:r>
        <w:rPr>
          <w:color w:val="211509"/>
        </w:rPr>
        <w:t xml:space="preserve">NFR-600 Quality &amp; observability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NFR-601 Crash-free sessions ≥99.6%; ANR &lt;0.4%.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NFR-602 Golden-path synthetic monitors (register→verify→sow→sprout→room) run every 5 min in production; banned-pattern lint (Doc 01 §M11-03) in CI.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NFR-603 Every FR above maps to at least one automated test; alternation, allowance, Sika Shield, and age-gate carry chaos/fuzz suites.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4. TRACEABILITY</w:t>
      </w:r>
    </w:p>
    <w:p>
      <w:pPr>
        <w:spacing w:after="160"/>
        <w:jc w:val="both"/>
      </w:pPr>
      <w:r>
        <w:rPr>
          <w:color w:val="3A2E1B"/>
        </w:rPr>
        <w:t xml:space="preserve">The traceability matrix (maintained in the engineering wiki, seeded from this document) links FR/NFR ↔ PRD module ↔ design screen (Doc 06) ↔ test case ↔ release. No requirement ships unlinked; no unlinked code ships.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Requirement family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PRD source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Primary owner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Test class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FR-100 Identity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M1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Identity squad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Integration + manual ID lab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FR-200 Seeds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M4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Core squad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API contract + fuzz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FR-300 Rooms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M5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Core squad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State-machine + chaos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FR-400 Fires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M9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Live squad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Load + field 3G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FR-600 Commerce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Doc 03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Payments squad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Reconciliation + idempotency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NFR-100 Performance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Platform squad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Device-lab benchmarks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NFR-300/400 Sec/Privacy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Doc 09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Security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Pen test + DPIA audit</w:t>
            </w:r>
          </w:p>
        </w:tc>
      </w:tr>
    </w:tbl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2026-07-17T00:20:58.428Z</dcterms:created>
  <dcterms:modified xsi:type="dcterms:W3CDTF">2026-07-17T00:20:58.429Z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