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0"/>
        <w:jc w:val="center"/>
      </w:pPr>
      <w:r>
        <w:rPr>
          <w:b/>
          <w:bCs/>
          <w:color w:val="211509"/>
          <w:spacing w:val="60"/>
          <w:sz w:val="100"/>
          <w:szCs w:val="100"/>
        </w:rPr>
        <w:t xml:space="preserve">OBIARA</w:t>
      </w:r>
    </w:p>
    <w:p>
      <w:pPr>
        <w:spacing w:after="60" w:before="120"/>
        <w:jc w:val="center"/>
      </w:pPr>
      <w:r>
        <w:rPr>
          <w:color w:val="B94A2B"/>
          <w:sz w:val="34"/>
          <w:szCs w:val="34"/>
        </w:rPr>
        <w:t xml:space="preserve">Revenue and Pricing Model</w:t>
      </w:r>
    </w:p>
    <w:p>
      <w:pPr>
        <w:spacing w:after="1500" w:before="40"/>
        <w:jc w:val="center"/>
      </w:pPr>
      <w:r>
        <w:rPr>
          <w:color w:val="7A6547"/>
          <w:sz w:val="22"/>
          <w:szCs w:val="22"/>
        </w:rPr>
        <w:t xml:space="preserve">Document 03 · How Obiara Makes Its Millions</w:t>
      </w:r>
    </w:p>
    <w:p>
      <w:pPr>
        <w:spacing w:after="40" w:before="1200"/>
        <w:jc w:val="center"/>
      </w:pPr>
      <w:r>
        <w:rPr>
          <w:color w:val="211509"/>
          <w:sz w:val="22"/>
          <w:szCs w:val="22"/>
        </w:rPr>
        <w:t xml:space="preserve">XCreativs Technologies Ltd · Accra, Ghana</w:t>
      </w:r>
    </w:p>
    <w:p>
      <w:pPr>
        <w:jc w:val="center"/>
      </w:pPr>
      <w:r>
        <w:rPr>
          <w:color w:val="7A6547"/>
          <w:sz w:val="20"/>
          <w:szCs w:val="20"/>
        </w:rPr>
        <w:t xml:space="preserve">July 2026 · Confidential · The Obiara Build Pack</w:t>
      </w:r>
    </w:p>
    <w:p>
      <w:r>
        <w:br w:type="page"/>
      </w:r>
    </w:p>
    <w:p>
      <w:pPr>
        <w:pStyle w:val="Heading1"/>
        <w:spacing w:after="200"/>
      </w:pPr>
      <w:r>
        <w:rPr>
          <w:color w:val="211509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60" w:before="0"/>
      </w:pPr>
      <w:r>
        <w:rPr>
          <w:color w:val="211509"/>
        </w:rPr>
        <w:t xml:space="preserve">1. COMMERCIAL PHILOSOPHY</w:t>
      </w:r>
    </w:p>
    <w:p>
      <w:pPr>
        <w:spacing w:after="160"/>
        <w:jc w:val="both"/>
      </w:pPr>
      <w:r>
        <w:rPr>
          <w:color w:val="3A2E1B"/>
        </w:rPr>
        <w:t xml:space="preserve">Obiara monetizes intent and moments, never attention and never approach. The three commercial laws, restated as binding policy: seeds and approach-rights are never sold; no advertising or data sale ever ships; every paid product must be cancellable in one tap. Within those laws, this document prices aggressively for a mass African market: MoMo-native micro-billing, price points anchored to familiar spends (a data bundle, a bet slip, a trotro fare), and revenue lines that stack across a member’s decade-long lifecycle. Currency: GHS for Ghana launch; diaspora pricing in GBP/USD/EUR; all figures are launch list prices with ±20% test bands under the pricing experimentation policy (§8).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2. MEMBERSHIP TIERS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350"/>
        <w:gridCol w:w="2350"/>
        <w:gridCol w:w="2350"/>
      </w:tblGrid>
      <w:tr>
        <w:trPr>
          <w:tblHeader/>
        </w:trPr>
        <w:tc>
          <w:tcPr>
            <w:tcW w:type="dxa" w:w="2350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Tier</w:t>
            </w:r>
          </w:p>
        </w:tc>
        <w:tc>
          <w:tcPr>
            <w:tcW w:type="dxa" w:w="2350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Price (GHS)</w:t>
            </w:r>
          </w:p>
        </w:tc>
        <w:tc>
          <w:tcPr>
            <w:tcW w:type="dxa" w:w="2350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Billing</w:t>
            </w:r>
          </w:p>
        </w:tc>
        <w:tc>
          <w:tcPr>
            <w:tcW w:type="dxa" w:w="2350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What it unlocks</w:t>
            </w:r>
          </w:p>
        </w:tc>
      </w:tr>
      <w:t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Fie (free)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0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—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Verified presence, House Front (receive pods), circles, open fires, games ladders, 7 weekly seeds</w:t>
            </w:r>
          </w:p>
        </w:tc>
      </w:tr>
      <w:t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Seeker Day Pass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One-off MoMo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24 h of full Seeker features — payday-friendly sampling</w:t>
            </w:r>
          </w:p>
        </w:tc>
      </w:tr>
      <w:t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Seeker Weekly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12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MoMo auto or manual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Weekly Introductions set, sowing enabled tools (garden insights), okyeame counsel at doorway, 1 premium fire/week</w:t>
            </w:r>
          </w:p>
        </w:tc>
      </w:tr>
      <w:t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Seeker Monthly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39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MoMo/ card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Seeker weekly value, ~19% saving, priority fire waitlists</w:t>
            </w:r>
          </w:p>
        </w:tc>
      </w:tr>
      <w:t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Intent Monthly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99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MoMo/card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All Seeker + matchmaker discovery &amp; booking, Abusua Gate toolkit, Nnoboa nominator seats (3), diaspora-visibility toggle, quarterly play-portrait</w:t>
            </w:r>
          </w:p>
        </w:tc>
      </w:tr>
      <w:t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Diaspora Intent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£11.99 / $14.99 / €13.99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Card/PayPal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Intent features + Tier-3 verification, home-market seeking, time-zone fires, family video Gate rooms</w:t>
            </w:r>
          </w:p>
        </w:tc>
      </w:tr>
    </w:tbl>
    <w:p>
      <w:pPr>
        <w:spacing w:after="160"/>
        <w:jc w:val="both"/>
      </w:pPr>
      <w:r>
        <w:rPr>
          <w:color w:val="3A2E1B"/>
        </w:rPr>
        <w:t xml:space="preserve">Pricing anchors: GHS 12/week sits beside a standard weekly social data bundle; GHS 3 day-pass matches habitual micro-spends (airtime top-up, bet stake) — the psychology is familiarity, not cheapness. Student verification (campus circle membership) earns a standing 25% discount on Seeker tiers; the campus flywheel is worth more than the margin.</w:t>
      </w:r>
    </w:p>
    <w:p>
      <w:pPr>
        <w:spacing w:after="160"/>
        <w:jc w:val="both"/>
      </w:pPr>
      <w:r>
        <w:rPr>
          <w:color w:val="3A2E1B"/>
        </w:rPr>
        <w:t xml:space="preserve">Free-tier integrity: receiving is always free and full-featured. A woman never pays to be approached respectfully; this is both ethics and liquidity strategy (supply-side generosity is what keeps demand-side willing to pay).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3. THE MOMENTS ECONOMY</w:t>
      </w:r>
    </w:p>
    <w:p>
      <w:pPr>
        <w:pStyle w:val="Heading3"/>
        <w:spacing w:after="140" w:before="260"/>
      </w:pPr>
      <w:r>
        <w:rPr>
          <w:color w:val="211509"/>
        </w:rPr>
        <w:t xml:space="preserve">3.1 Fires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350"/>
        <w:gridCol w:w="2350"/>
        <w:gridCol w:w="2350"/>
      </w:tblGrid>
      <w:tr>
        <w:trPr>
          <w:tblHeader/>
        </w:trPr>
        <w:tc>
          <w:tcPr>
            <w:tcW w:type="dxa" w:w="2350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Product</w:t>
            </w:r>
          </w:p>
        </w:tc>
        <w:tc>
          <w:tcPr>
            <w:tcW w:type="dxa" w:w="2350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Price (GHS)</w:t>
            </w:r>
          </w:p>
        </w:tc>
        <w:tc>
          <w:tcPr>
            <w:tcW w:type="dxa" w:w="2350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Split</w:t>
            </w:r>
          </w:p>
        </w:tc>
        <w:tc>
          <w:tcPr>
            <w:tcW w:type="dxa" w:w="2350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Open fires (campus/city/circle)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Free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—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Liquidity engines; never paywalled</w:t>
            </w:r>
          </w:p>
        </w:tc>
      </w:tr>
      <w:t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Premium themed fires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10–25 ticket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60% platform / 40% host pool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Curated hosts, capped rooms</w:t>
            </w:r>
          </w:p>
        </w:tc>
      </w:tr>
      <w:t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Flagship durbars (monthly)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25–60 ticket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Platform + venue/partner deal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Sponsor co-hosting per §6</w:t>
            </w:r>
          </w:p>
        </w:tc>
      </w:tr>
    </w:tbl>
    <w:p>
      <w:pPr>
        <w:pStyle w:val="Heading3"/>
        <w:spacing w:after="140" w:before="260"/>
      </w:pPr>
      <w:r>
        <w:rPr>
          <w:color w:val="211509"/>
        </w:rPr>
        <w:t xml:space="preserve">3.2 Games &amp; tournaments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350"/>
        <w:gridCol w:w="2350"/>
        <w:gridCol w:w="2350"/>
      </w:tblGrid>
      <w:tr>
        <w:trPr>
          <w:tblHeader/>
        </w:trPr>
        <w:tc>
          <w:tcPr>
            <w:tcW w:type="dxa" w:w="2350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Product</w:t>
            </w:r>
          </w:p>
        </w:tc>
        <w:tc>
          <w:tcPr>
            <w:tcW w:type="dxa" w:w="2350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Price (GHS)</w:t>
            </w:r>
          </w:p>
        </w:tc>
        <w:tc>
          <w:tcPr>
            <w:tcW w:type="dxa" w:w="2350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Split</w:t>
            </w:r>
          </w:p>
        </w:tc>
        <w:tc>
          <w:tcPr>
            <w:tcW w:type="dxa" w:w="2350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Casual play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Free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—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All games, always</w:t>
            </w:r>
          </w:p>
        </w:tc>
      </w:tr>
      <w:t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Tournament entry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5–20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70/30 platform/prize-ops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Weekly ladders</w:t>
            </w:r>
          </w:p>
        </w:tc>
      </w:tr>
      <w:t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Campus league season pass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15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Prize pot funded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Inter-hall leagues; sponsor pots stack</w:t>
            </w:r>
          </w:p>
        </w:tc>
      </w:tr>
    </w:tbl>
    <w:p>
      <w:pPr>
        <w:pStyle w:val="Heading3"/>
        <w:spacing w:after="140" w:before="260"/>
      </w:pPr>
      <w:r>
        <w:rPr>
          <w:color w:val="211509"/>
        </w:rPr>
        <w:t xml:space="preserve">3.3 Cosmetics (beauty, never advantage)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3"/>
        <w:gridCol w:w="3133"/>
        <w:gridCol w:w="3133"/>
      </w:tblGrid>
      <w:tr>
        <w:trPr>
          <w:tblHeader/>
        </w:trPr>
        <w:tc>
          <w:tcPr>
            <w:tcW w:type="dxa" w:w="3133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Product</w:t>
            </w:r>
          </w:p>
        </w:tc>
        <w:tc>
          <w:tcPr>
            <w:tcW w:type="dxa" w:w="3133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Price (GHS)</w:t>
            </w:r>
          </w:p>
        </w:tc>
        <w:tc>
          <w:tcPr>
            <w:tcW w:type="dxa" w:w="3133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Festival Seed packs (5 skins)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8–15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Adinkra, Eid, Val’s, Chalewote, Homowo editions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Garden aesthetics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6–20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Themes, pot styles, dawn-summary art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Cloth display frames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10–30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Room header finishes</w:t>
            </w:r>
          </w:p>
        </w:tc>
      </w:tr>
    </w:tbl>
    <w:p>
      <w:pPr>
        <w:pStyle w:val="Heading3"/>
        <w:spacing w:after="140" w:before="260"/>
      </w:pPr>
      <w:r>
        <w:rPr>
          <w:color w:val="211509"/>
        </w:rPr>
        <w:t xml:space="preserve">3.4 Matchmaker marketplace</w:t>
      </w:r>
    </w:p>
    <w:p>
      <w:pPr>
        <w:spacing w:after="160"/>
        <w:jc w:val="both"/>
      </w:pPr>
      <w:r>
        <w:rPr>
          <w:color w:val="3A2E1B"/>
        </w:rPr>
        <w:t xml:space="preserve">Matchmakers set fees within banded guidance: consultation GHS 80–250; curated introduction package (3 proposals) GHS 250–600; family-liaison engagement GHS 400–1,200. Platform take: 20% standard, 15% for top-suban matchmakers (earned rate). Escrowed via MoMo; released on delivery milestones; disputes to Mpanyimfo.</w:t>
      </w:r>
    </w:p>
    <w:p>
      <w:pPr>
        <w:pStyle w:val="Heading3"/>
        <w:spacing w:after="140" w:before="260"/>
      </w:pPr>
      <w:r>
        <w:rPr>
          <w:color w:val="211509"/>
        </w:rPr>
        <w:t xml:space="preserve">3.5 The ceremony economy (highest-margin line)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3"/>
        <w:gridCol w:w="3133"/>
        <w:gridCol w:w="3133"/>
      </w:tblGrid>
      <w:tr>
        <w:trPr>
          <w:tblHeader/>
        </w:trPr>
        <w:tc>
          <w:tcPr>
            <w:tcW w:type="dxa" w:w="3133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Product</w:t>
            </w:r>
          </w:p>
        </w:tc>
        <w:tc>
          <w:tcPr>
            <w:tcW w:type="dxa" w:w="3133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Price</w:t>
            </w:r>
          </w:p>
        </w:tc>
        <w:tc>
          <w:tcPr>
            <w:tcW w:type="dxa" w:w="3133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Platform economics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Aseda Registry (cash gifts)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Guest-side convenience fee 1.5% capped GHS 10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~0.9% net after MoMo costs; volume line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Wedding Suite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GHS 600 / 1,200 / 2,500 (Simple/Grand/Royal)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Software margin ~85%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Vendor marketplace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8% commission on booked value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Vetted vendors; quality bond held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Diaspora livestream pass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£4.99 / $5.99 per household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Direct margin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Cloth Harvest commission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GHS 900–3,500 per cloth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25% platform margin; weaver-partner floor prices protected</w:t>
            </w:r>
          </w:p>
        </w:tc>
      </w:tr>
    </w:tbl>
    <w:p>
      <w:pPr>
        <w:pStyle w:val="Heading1"/>
        <w:pageBreakBefore/>
        <w:spacing w:after="260" w:before="0"/>
      </w:pPr>
      <w:r>
        <w:rPr>
          <w:color w:val="211509"/>
        </w:rPr>
        <w:t xml:space="preserve">4. BILLING MECHANICS (GHANA-REAL)</w:t>
      </w:r>
    </w:p>
    <w:p>
      <w:pPr>
        <w:pStyle w:val="ListParagraph"/>
        <w:numPr>
          <w:ilvl w:val="0"/>
          <w:numId w:val="2"/>
        </w:numPr>
        <w:spacing w:after="130"/>
      </w:pPr>
      <w:r>
        <w:rPr>
          <w:color w:val="3A2E1B"/>
        </w:rPr>
        <w:t xml:space="preserve">MoMo aggregation across MTN MoMo, Telecel Cash, AT Money; USSD-push confirmation flows; airtime billing evaluated as fallback only (poor margins).</w:t>
      </w:r>
    </w:p>
    <w:p>
      <w:pPr>
        <w:pStyle w:val="ListParagraph"/>
        <w:numPr>
          <w:ilvl w:val="0"/>
          <w:numId w:val="2"/>
        </w:numPr>
        <w:spacing w:after="130"/>
      </w:pPr>
      <w:r>
        <w:rPr>
          <w:color w:val="3A2E1B"/>
        </w:rPr>
        <w:t xml:space="preserve">Grace, not lapse-shame: failed renewals get a 72-h grace with one respectful reminder; features step down gracefully; no content is held hostage.</w:t>
      </w:r>
    </w:p>
    <w:p>
      <w:pPr>
        <w:pStyle w:val="ListParagraph"/>
        <w:numPr>
          <w:ilvl w:val="0"/>
          <w:numId w:val="2"/>
        </w:numPr>
        <w:spacing w:after="130"/>
      </w:pPr>
      <w:r>
        <w:rPr>
          <w:color w:val="3A2E1B"/>
        </w:rPr>
        <w:t xml:space="preserve">Refund policy: 48-h no-questions on first subscription; pass products non-refundable after use window opens; all refunds one-tap requestable in-app.</w:t>
      </w:r>
    </w:p>
    <w:p>
      <w:pPr>
        <w:pStyle w:val="ListParagraph"/>
        <w:numPr>
          <w:ilvl w:val="0"/>
          <w:numId w:val="2"/>
        </w:numPr>
        <w:spacing w:after="130"/>
      </w:pPr>
      <w:r>
        <w:rPr>
          <w:color w:val="3A2E1B"/>
        </w:rPr>
        <w:t xml:space="preserve">Receipts via SMS+in-app; VAT/CST/levies displayed transparently at checkout; pricing tables server-driven per market pack with four-eyes change control (PRD M13-05).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5. UNIT ECONOMICS (LAUNCH MODEL, GHANA)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3"/>
        <w:gridCol w:w="3133"/>
        <w:gridCol w:w="3133"/>
      </w:tblGrid>
      <w:tr>
        <w:trPr>
          <w:tblHeader/>
        </w:trPr>
        <w:tc>
          <w:tcPr>
            <w:tcW w:type="dxa" w:w="3133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Metric</w:t>
            </w:r>
          </w:p>
        </w:tc>
        <w:tc>
          <w:tcPr>
            <w:tcW w:type="dxa" w:w="3133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Year-1 target</w:t>
            </w:r>
          </w:p>
        </w:tc>
        <w:tc>
          <w:tcPr>
            <w:tcW w:type="dxa" w:w="3133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Basis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Paid conversion (MAU→any pay/mo)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8–12%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Day-pass sampling + student discount funnel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Blended ARPPU / month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GHS 34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Mix: passes 45%, Seeker 35%, Intent 12%, moments 8%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Blended ARPU / MAU / month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GHS 3.4–4.1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Conversion × ARPPU + moments long tail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CAC (campus/fire-led)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GHS 18–35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Ambassador + fire embers; paid social minimal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Payback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&lt; 3 months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On Seeker weekly cohort math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Gross margin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78–84%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Voice infra + MoMo fees are main COGS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24-month member LTV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GHS 160–320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Pre-ceremony lines only; weddings additive</w:t>
            </w:r>
          </w:p>
        </w:tc>
      </w:tr>
    </w:tbl>
    <w:p>
      <w:pPr>
        <w:spacing w:after="160"/>
        <w:jc w:val="both"/>
      </w:pPr>
      <w:r>
        <w:rPr>
          <w:color w:val="3A2E1B"/>
        </w:rPr>
        <w:t xml:space="preserve">The ceremony kicker: a single Grand wedding (suite 1,200 + registry net ~GHS 250 on GHS 30k gifts + vendor commission ~GHS 1,800 on GHS 22k booked + one cloth margin ~GHS 500) yields GHS 3,500–4,500 platform revenue — equal to years of subscription from the same pair, earned at their happiest moment. The model’s decade curve, not its month-one curve, is where the millions live.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6. SPONSORSHIP (NOT ADVERTISING) POLICY</w:t>
      </w:r>
    </w:p>
    <w:p>
      <w:pPr>
        <w:spacing w:after="160"/>
        <w:jc w:val="both"/>
      </w:pPr>
      <w:r>
        <w:rPr>
          <w:color w:val="3A2E1B"/>
        </w:rPr>
        <w:t xml:space="preserve">Brands may co-host community moments (flagship durbars, campus leagues, festival seed drops) under strict rules: presence at community surfaces only, never inside doorway/rooms/matching; no data sharing; no targeting; creative under Obiara brand system; category exclusions (betting, loans above rate caps, alcohol at campus events). Rate card: flagship durbar co-host GHS 40k–120k; league season sponsor GHS 60k–200k; festival drop GHS 25k–80k. Sponsorship is projected at ≤15% of revenue by design — a ceiling, not a target.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7. THREE-YEAR REVENUE SCENARIO (BASE CASE)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1566"/>
        <w:gridCol w:w="1566"/>
        <w:gridCol w:w="1566"/>
        <w:gridCol w:w="1566"/>
        <w:gridCol w:w="1566"/>
      </w:tblGrid>
      <w:tr>
        <w:trPr>
          <w:tblHeader/>
        </w:trPr>
        <w:tc>
          <w:tcPr>
            <w:tcW w:type="dxa" w:w="1566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Year</w:t>
            </w:r>
          </w:p>
        </w:tc>
        <w:tc>
          <w:tcPr>
            <w:tcW w:type="dxa" w:w="1566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Registered / MAU</w:t>
            </w:r>
          </w:p>
        </w:tc>
        <w:tc>
          <w:tcPr>
            <w:tcW w:type="dxa" w:w="1566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Paying mix</w:t>
            </w:r>
          </w:p>
        </w:tc>
        <w:tc>
          <w:tcPr>
            <w:tcW w:type="dxa" w:w="1566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Revenue (GHS m)</w:t>
            </w:r>
          </w:p>
        </w:tc>
        <w:tc>
          <w:tcPr>
            <w:tcW w:type="dxa" w:w="1566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Revenue (US$ m)</w:t>
            </w:r>
          </w:p>
        </w:tc>
        <w:tc>
          <w:tcPr>
            <w:tcW w:type="dxa" w:w="1566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56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Y1 (Accra)</w:t>
            </w:r>
          </w:p>
        </w:tc>
        <w:tc>
          <w:tcPr>
            <w:tcW w:type="dxa" w:w="156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120k / 55k</w:t>
            </w:r>
          </w:p>
        </w:tc>
        <w:tc>
          <w:tcPr>
            <w:tcW w:type="dxa" w:w="156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9%</w:t>
            </w:r>
          </w:p>
        </w:tc>
        <w:tc>
          <w:tcPr>
            <w:tcW w:type="dxa" w:w="156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~2.6</w:t>
            </w:r>
          </w:p>
        </w:tc>
        <w:tc>
          <w:tcPr>
            <w:tcW w:type="dxa" w:w="156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~0.24</w:t>
            </w:r>
          </w:p>
        </w:tc>
        <w:tc>
          <w:tcPr>
            <w:tcW w:type="dxa" w:w="156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Density-first; weddings begin M10</w:t>
            </w:r>
          </w:p>
        </w:tc>
      </w:tr>
      <w:tr>
        <w:tc>
          <w:tcPr>
            <w:tcW w:type="dxa" w:w="156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Y2 (Ghana national)</w:t>
            </w:r>
          </w:p>
        </w:tc>
        <w:tc>
          <w:tcPr>
            <w:tcW w:type="dxa" w:w="156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650k / 300k</w:t>
            </w:r>
          </w:p>
        </w:tc>
        <w:tc>
          <w:tcPr>
            <w:tcW w:type="dxa" w:w="156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11%</w:t>
            </w:r>
          </w:p>
        </w:tc>
        <w:tc>
          <w:tcPr>
            <w:tcW w:type="dxa" w:w="156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~19</w:t>
            </w:r>
          </w:p>
        </w:tc>
        <w:tc>
          <w:tcPr>
            <w:tcW w:type="dxa" w:w="156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~1.7</w:t>
            </w:r>
          </w:p>
        </w:tc>
        <w:tc>
          <w:tcPr>
            <w:tcW w:type="dxa" w:w="156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Kumasi/Takoradi; ceremony line scales; sponsorships start</w:t>
            </w:r>
          </w:p>
        </w:tc>
      </w:tr>
      <w:tr>
        <w:tc>
          <w:tcPr>
            <w:tcW w:type="dxa" w:w="156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Y3 (+ Lagos entry H2)</w:t>
            </w:r>
          </w:p>
        </w:tc>
        <w:tc>
          <w:tcPr>
            <w:tcW w:type="dxa" w:w="156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2.4m / 1.1m</w:t>
            </w:r>
          </w:p>
        </w:tc>
        <w:tc>
          <w:tcPr>
            <w:tcW w:type="dxa" w:w="156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12%</w:t>
            </w:r>
          </w:p>
        </w:tc>
        <w:tc>
          <w:tcPr>
            <w:tcW w:type="dxa" w:w="156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~86</w:t>
            </w:r>
          </w:p>
        </w:tc>
        <w:tc>
          <w:tcPr>
            <w:tcW w:type="dxa" w:w="156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~7.8</w:t>
            </w:r>
          </w:p>
        </w:tc>
        <w:tc>
          <w:tcPr>
            <w:tcW w:type="dxa" w:w="156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Nigeria pricing pack (NGN); diaspora line compounding</w:t>
            </w:r>
          </w:p>
        </w:tc>
      </w:tr>
    </w:tbl>
    <w:p>
      <w:pPr>
        <w:spacing w:after="160"/>
        <w:jc w:val="both"/>
      </w:pPr>
      <w:r>
        <w:rPr>
          <w:color w:val="3A2E1B"/>
        </w:rPr>
        <w:t xml:space="preserve">Sensitivity: the model’s two levers are fire attendance (drives conversion) and wedding capture rate (drives ARPU ceiling). Downside case (half conversion, delayed Nigeria) still clears ~US$3m Y3; upside (Nigeria on-plan + 25% wedding capture) exceeds US$12m. Full spreadsheet handed to finance workstream as a follow-on artifact.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8. PRICING GOVERNANCE</w:t>
      </w:r>
    </w:p>
    <w:p>
      <w:pPr>
        <w:pStyle w:val="ListParagraph"/>
        <w:numPr>
          <w:ilvl w:val="0"/>
          <w:numId w:val="3"/>
        </w:numPr>
        <w:spacing w:after="130"/>
      </w:pPr>
      <w:r>
        <w:rPr>
          <w:color w:val="3A2E1B"/>
        </w:rPr>
        <w:t xml:space="preserve">All price tests A/B within ±20% bands, geo-cohorted, minimum 2-week windows; no test may touch the three commercial laws.</w:t>
      </w:r>
    </w:p>
    <w:p>
      <w:pPr>
        <w:pStyle w:val="ListParagraph"/>
        <w:numPr>
          <w:ilvl w:val="0"/>
          <w:numId w:val="3"/>
        </w:numPr>
        <w:spacing w:after="130"/>
      </w:pPr>
      <w:r>
        <w:rPr>
          <w:color w:val="3A2E1B"/>
        </w:rPr>
        <w:t xml:space="preserve">Quarterly pricing council (CEO, CTO, Finance, Community Voice seat) reviews affordability metrics: percentage of student members priced out, decline-to-renew reasons, refund rates.</w:t>
      </w:r>
    </w:p>
    <w:p>
      <w:pPr>
        <w:pStyle w:val="ListParagraph"/>
        <w:numPr>
          <w:ilvl w:val="0"/>
          <w:numId w:val="3"/>
        </w:numPr>
        <w:spacing w:after="130"/>
      </w:pPr>
      <w:r>
        <w:rPr>
          <w:color w:val="3A2E1B"/>
        </w:rPr>
        <w:t xml:space="preserve">Fraud economics review: any product found to improve a scammer’s ROI (e.g., visibility boosts) is killed regardless of revenue.</w:t>
      </w:r>
    </w:p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  <w:rPr>
        <w:color w:val="B94A2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Georgia" w:cs="Georgia" w:eastAsia="Georgia" w:hAnsi="Georgia"/>
      <w:b/>
      <w:bCs/>
      <w:i/>
      <w:iCs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2026-07-17T00:20:58.560Z</dcterms:created>
  <dcterms:modified xsi:type="dcterms:W3CDTF">2026-07-17T00:20:58.560Z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