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b/>
          <w:bCs/>
          <w:color w:val="211509"/>
          <w:spacing w:val="60"/>
          <w:sz w:val="100"/>
          <w:szCs w:val="100"/>
        </w:rPr>
        <w:t xml:space="preserve">OBIARA</w:t>
      </w:r>
    </w:p>
    <w:p>
      <w:pPr>
        <w:spacing w:after="60" w:before="120"/>
        <w:jc w:val="center"/>
      </w:pPr>
      <w:r>
        <w:rPr>
          <w:color w:val="B94A2B"/>
          <w:sz w:val="34"/>
          <w:szCs w:val="34"/>
        </w:rPr>
        <w:t xml:space="preserve">Brand and Visual Design Language</w:t>
      </w:r>
    </w:p>
    <w:p>
      <w:pPr>
        <w:spacing w:after="1500" w:before="40"/>
        <w:jc w:val="center"/>
      </w:pPr>
      <w:r>
        <w:rPr>
          <w:color w:val="7A6547"/>
          <w:sz w:val="22"/>
          <w:szCs w:val="22"/>
        </w:rPr>
        <w:t xml:space="preserve">Document 05 · Color, Type, Motion, Sound (Logo Pending)</w:t>
      </w:r>
    </w:p>
    <w:p>
      <w:pPr>
        <w:spacing w:after="40" w:before="1200"/>
        <w:jc w:val="center"/>
      </w:pPr>
      <w:r>
        <w:rPr>
          <w:color w:val="211509"/>
          <w:sz w:val="22"/>
          <w:szCs w:val="22"/>
        </w:rPr>
        <w:t xml:space="preserve">XCreativs Technologies Ltd · Accra, Ghana</w:t>
      </w:r>
    </w:p>
    <w:p>
      <w:pPr>
        <w:jc w:val="center"/>
      </w:pPr>
      <w:r>
        <w:rPr>
          <w:color w:val="7A6547"/>
          <w:sz w:val="20"/>
          <w:szCs w:val="20"/>
        </w:rPr>
        <w:t xml:space="preserve">July 2026 · Confidential · The Obiara Build Pack</w:t>
      </w:r>
    </w:p>
    <w:p>
      <w:r>
        <w:br w:type="page"/>
      </w:r>
    </w:p>
    <w:p>
      <w:pPr>
        <w:pStyle w:val="Heading1"/>
        <w:spacing w:after="200"/>
      </w:pPr>
      <w:r>
        <w:rPr>
          <w:color w:val="21150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60" w:before="0"/>
      </w:pPr>
      <w:r>
        <w:rPr>
          <w:color w:val="211509"/>
        </w:rPr>
        <w:t xml:space="preserve">1. STATUS AND SCOPE</w:t>
      </w:r>
    </w:p>
    <w:p>
      <w:pPr>
        <w:spacing w:after="160"/>
        <w:jc w:val="both"/>
      </w:pPr>
      <w:r>
        <w:rPr>
          <w:color w:val="3A2E1B"/>
        </w:rPr>
        <w:t xml:space="preserve">The logomark is under active selection from the seven-concept exploration and is deliberately excluded here; every system below is logo-independent and final-candidate compatible (all seven concepts share the palette and 512-grid geometry, so no rework follows the selection). This document is the binding design constitution for product, marketing, and motion until the full brand book supersedes it.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2. BRAND PERSONALITY AND VOICE</w:t>
      </w:r>
    </w:p>
    <w:p>
      <w:pPr>
        <w:spacing w:after="160"/>
        <w:jc w:val="both"/>
      </w:pPr>
      <w:r>
        <w:rPr>
          <w:color w:val="3A2E1B"/>
        </w:rPr>
        <w:t xml:space="preserve">Obiara is the wise, warm relative who is also effortlessly modern: dignified, playful, never sleazy, never corporate-cold. Design must feel like evening light in a compound — warm surfaces, unhurried rhythm, craft details. The anti-references are explicit: not neon-dark nightlife (the hookup-app register), not NGO-pastel (the development-sector register), not glassy fintech minimalism. Voice principles for all copy: speak like a person, honor the user’s intelligence, one proverb-register touch per surface maximum, never shame, never pressure (full copy system in Doc 10).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3. COLOR SYSTEM</w:t>
      </w:r>
    </w:p>
    <w:p>
      <w:pPr>
        <w:spacing w:after="160"/>
        <w:jc w:val="both"/>
      </w:pPr>
      <w:r>
        <w:rPr>
          <w:color w:val="3A2E1B"/>
        </w:rPr>
        <w:t xml:space="preserve">The palette extends the identity exploration into a full token system. Ratios: Shea and Umber carry ~80% of every screen; Gold is the action voice; Clay is emotional emphasis; Forest is growth and success. Dark mode is not an inversion but a place: Night Fie, the compound after sundown, is the default theme during fire hours.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Token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Hex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ink.900 Umber Ink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#211509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Primary text (light mode), Night Fie surfaces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cream.100 Shea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#F5E9D4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Light surfaces, Night Fie text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cream.200 Calabash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#EADCC0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Cards, elevated surfaces (light)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gold.500 Ceremony Gold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#E8A11E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Primary actions, the drum, seed accents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gold.600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#C9880F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Pressed/active gold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clay.500 Laterite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#B94A2B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Emotional highlights, love-context accents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forest.500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#31603D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Growth states, success, sprout/cloth greens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indigo.600 Adinkra Indigo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#2E4270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Informational, okyeame presence, links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ember.500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#D96A2B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Fires, live states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error.600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#A8321F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Errors, destructive confirms (never for romance events)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night.800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#171009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Night Fie base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night.700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#241A0F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Night Fie elevated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Accessibility law: all text pairs meet WCAG 2.2 AA (body 4.5:1, large 3:1); the token file ships with pre-approved pairings and CI contrast lint.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Zone tinting: each fie zone carries a 4–6% ambient tint (Abɔnten neutral, Adiwo calabash-warm, Ɛpono ano gold-warm, Dan mu clay-warm) so location is felt before it is read.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4. TYPOGRAPHY</w:t>
      </w:r>
    </w:p>
    <w:p>
      <w:pPr>
        <w:spacing w:after="160"/>
        <w:jc w:val="both"/>
      </w:pPr>
      <w:r>
        <w:rPr>
          <w:color w:val="3A2E1B"/>
        </w:rPr>
        <w:t xml:space="preserve">Chosen for warmth, distinction, full African-Latin coverage (ɛ, ɔ, ŋ, tonal marks), variable-font efficiency, and zero licensing friction (all open):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Role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Typeface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Display / brand voice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Fraunces (variable, optical sizes)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Headlines, rite titles, ceremony moments — the storyteller serif: warm, soft-inked, unmistakably not a tech-default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Text / interface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Plus Jakarta Sans (variable)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All UI, body, controls — humanist, highly legible small, friendly geometry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Fallback / extended scripts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Noto Sans family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Guaranteed glyph coverage across all launch languages; auto-fallback in the stack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Numerals &amp; data accents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Plus Jakarta Sans tabular set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Prices, counts, timers</w:t>
            </w:r>
          </w:p>
        </w:tc>
      </w:tr>
    </w:tbl>
    <w:p>
      <w:pPr>
        <w:spacing w:after="160"/>
        <w:jc w:val="both"/>
      </w:pPr>
      <w:r>
        <w:rPr>
          <w:color w:val="3A2E1B"/>
        </w:rPr>
        <w:t xml:space="preserve">Type scale (mobile-first, 1.2 ratio): display 34/40, title 26/32, heading 21/28, body 16/24, secondary 14/20, caption 12/16. Rules: Fraunces never below 21 pt; sentence case everywhere except the wordmark; letterspacing +2% on all-caps labels only; line length 60–68 ch on reading surfaces. Local-language rule: Twi/Ga/Ewe strings render in the same stack — no "ethnic display font" ghettoization; the culture lives in the words and patterns, not in faux-tribal type.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5. ICONOGRAPHY AND PATTERN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Icon grammar: 24 dp grid, 2 dp rounded strokes, forms derived from the identity exploration’s geometry; a custom set of ~90 icons including the canonical five gesture glyphs (Hold, Sow, Drum, Stone, Gather), pod, sprout, cloth, fire, calabash.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Adinkra usage policy: adinkra symbols appear as meaning-bearing accents (empty states, ceremony moments, festival seeds) with their names and meanings surfaced on long-press — cultural literacy as delight; never as random wallpaper, never distorted, never mixed with unrelated cultures’ motifs in one surface.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The Weave pattern engine (binding spec for M7): strip-weave grammar of 12 band archetypes (ground, call bands, response bands, theme bands ×4, meeting mark, gate mark, exclusivity mark, aseda border); band palette drawn from both members’ hometown palettes (region-mapped color tables shipped in market packs); deterministic render from event stream; export at print resolution for Harvest.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6. MOTION AND HAPTICS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Physics: calm, weighted, cloth-like — 250–350 ms standard, custom ease (0.32, 0, 0.16, 1); nothing bounces like a game, nothing snaps like a bank.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Signature moments (the only permitted large animations): seed sow-and-settle, pod opening bloom, sprout unfurl, thread weaving across the room header on milestones, fire embers drift at close, dawn light pass on the garden summary.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Haptic dictionary paired to the drum sound identity: pod double-tap, sprout rising triplet, drum-pass single tick, fire-gathering roll; all under user intensity control; reduced-motion honors OS settings with fade-substitutes.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7. SOUND IDENTITY</w:t>
      </w:r>
    </w:p>
    <w:p>
      <w:pPr>
        <w:spacing w:after="160"/>
        <w:jc w:val="both"/>
      </w:pPr>
      <w:r>
        <w:rPr>
          <w:color w:val="3A2E1B"/>
        </w:rPr>
        <w:t xml:space="preserve">The drum is the brand’s voice. Commission (launch-critical, week 1 of design phase): a Ghanaian percussion composer records the family — pod (two-beat atumpan phrase), sprout (rising three), drum-pass (single mnemonic tick), fire herald (gathering rhythm, 4 s), aseda (celebration phrase). Deliverables: 48 kHz masters + compressed sets; loudness-normalized; distinct at phone-speaker volume in a hostel corridor; trademark-search the motif. No other notification sounds exist in the product.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8. COMPONENT SYSTEM (UI KIT V1 CONTENTS)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Foundations: tokens (color, type, space 4-dp scale, radius family 12/16/24, elevation as warm shadows), zone tints, Night Fie theme.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Core components: buttons (gold primary / outline / quiet), voice recorder (waveform, re-record, speed), pod card, seed object + sow interaction, drum composer (alternation-aware states), pause stone control, trust-path chip, honesty ribbon, cloth strip header, fire room stage, game boards (oware set), okyeame presence + sheet, consent toggles (Gate), MoMo checkout sheet, kind-closure flow, report/safety sheet.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States doctrine: every component ships with loading, empty (warm, directive copy per Doc 10), error (plain cause + fix), offline-queued, and low-bandwidth variants. Empty states use adinkra + one line, never illustrations of sad phones.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Delivery: Figma library with tokens as variables; developer parity via design-token JSON consumed by both mobile clients; visual regression snapshots in CI.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9. PHOTOGRAPHY AND ILLUSTRATION DIRECTION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Photography: real African couples and gatherings, evening-warm grade, dignity framing (eye-level, never exoticizing), city-true wardrobe mixing contemporary and traditional; no stock-smile aesthetics.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Illustration: reserved for the okyeame’s story renders and empty states — flat, warm-toned, pattern-informed; one commissioned Ghanaian illustrator sets the style bible.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The veil (M4/M1-08 spec): pre-acceptance portraits render behind a generative kente-gauze blur — identity-protecting, beautiful, unmistakably Obiara; the unveil on acceptance is a signature moment (200 ms cloth-part animation).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10. GOVERNANCE</w:t>
      </w:r>
    </w:p>
    <w:p>
      <w:pPr>
        <w:spacing w:after="160"/>
        <w:jc w:val="both"/>
      </w:pPr>
      <w:r>
        <w:rPr>
          <w:color w:val="3A2E1B"/>
        </w:rPr>
        <w:t xml:space="preserve">Design tokens and this document are versioned together; changes require design-lead + founder sign-off; the Auntie Review (Doc 04 §6) covers look-and-feel dignity as well as mechanics. Upon logo selection, the brand book v1 merges this system with the chosen mark, its clearspace/misuse rules, and app-icon program — estimated two design-days of integration, zero rework to the above.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B94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i/>
      <w:i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2026-07-17T00:20:58.906Z</dcterms:created>
  <dcterms:modified xsi:type="dcterms:W3CDTF">2026-07-17T00:20:58.906Z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