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jc w:val="center"/>
      </w:pPr>
      <w:r>
        <w:rPr>
          <w:b/>
          <w:bCs/>
          <w:color w:val="211509"/>
          <w:spacing w:val="60"/>
          <w:sz w:val="100"/>
          <w:szCs w:val="100"/>
        </w:rPr>
        <w:t xml:space="preserve">OBIARA</w:t>
      </w:r>
    </w:p>
    <w:p>
      <w:pPr>
        <w:spacing w:after="60" w:before="120"/>
        <w:jc w:val="center"/>
      </w:pPr>
      <w:r>
        <w:rPr>
          <w:color w:val="B94A2B"/>
          <w:sz w:val="34"/>
          <w:szCs w:val="34"/>
        </w:rPr>
        <w:t xml:space="preserve">Technical Architecture</w:t>
      </w:r>
    </w:p>
    <w:p>
      <w:pPr>
        <w:spacing w:after="1500" w:before="40"/>
        <w:jc w:val="center"/>
      </w:pPr>
      <w:r>
        <w:rPr>
          <w:color w:val="7A6547"/>
          <w:sz w:val="22"/>
          <w:szCs w:val="22"/>
        </w:rPr>
        <w:t xml:space="preserve">Document 07 · Topology, Subsystems and Integrations</w:t>
      </w:r>
    </w:p>
    <w:p>
      <w:pPr>
        <w:spacing w:after="40" w:before="1200"/>
        <w:jc w:val="center"/>
      </w:pPr>
      <w:r>
        <w:rPr>
          <w:color w:val="211509"/>
          <w:sz w:val="22"/>
          <w:szCs w:val="22"/>
        </w:rPr>
        <w:t xml:space="preserve">XCreativs Technologies Ltd · Accra, Ghana</w:t>
      </w:r>
    </w:p>
    <w:p>
      <w:pPr>
        <w:jc w:val="center"/>
      </w:pPr>
      <w:r>
        <w:rPr>
          <w:color w:val="7A6547"/>
          <w:sz w:val="20"/>
          <w:szCs w:val="20"/>
        </w:rPr>
        <w:t xml:space="preserve">July 2026 · Confidential · The Obiara Build Pack</w:t>
      </w:r>
    </w:p>
    <w:p>
      <w:r>
        <w:br w:type="page"/>
      </w:r>
    </w:p>
    <w:p>
      <w:pPr>
        <w:pStyle w:val="Heading1"/>
        <w:spacing w:after="200"/>
      </w:pPr>
      <w:r>
        <w:rPr>
          <w:color w:val="211509"/>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60" w:before="0"/>
      </w:pPr>
      <w:r>
        <w:rPr>
          <w:color w:val="211509"/>
        </w:rPr>
        <w:t xml:space="preserve">1. ARCHITECTURE PRINCIPLES</w:t>
      </w:r>
    </w:p>
    <w:p>
      <w:pPr>
        <w:pStyle w:val="ListParagraph"/>
        <w:numPr>
          <w:ilvl w:val="0"/>
          <w:numId w:val="2"/>
        </w:numPr>
        <w:spacing w:after="130"/>
      </w:pPr>
      <w:r>
        <w:rPr>
          <w:color w:val="3A2E1B"/>
        </w:rPr>
        <w:t xml:space="preserve">Boring where possible, novel only where the product is novel (alternation engine, seed economy, fire audio, the Obi Graph, Sentinel).</w:t>
      </w:r>
    </w:p>
    <w:p>
      <w:pPr>
        <w:pStyle w:val="ListParagraph"/>
        <w:numPr>
          <w:ilvl w:val="0"/>
          <w:numId w:val="2"/>
        </w:numPr>
        <w:spacing w:after="130"/>
      </w:pPr>
      <w:r>
        <w:rPr>
          <w:color w:val="3A2E1B"/>
        </w:rPr>
        <w:t xml:space="preserve">Server-authoritative everything: allowances, drum state, windows, tiers — clients render, never rule.</w:t>
      </w:r>
    </w:p>
    <w:p>
      <w:pPr>
        <w:pStyle w:val="ListParagraph"/>
        <w:numPr>
          <w:ilvl w:val="0"/>
          <w:numId w:val="2"/>
        </w:numPr>
        <w:spacing w:after="130"/>
      </w:pPr>
      <w:r>
        <w:rPr>
          <w:color w:val="3A2E1B"/>
        </w:rPr>
        <w:t xml:space="preserve">Africa-real: every design decision is tested against a 3G budget Android and a MoMo USSD push, not a fiber MacBook.</w:t>
      </w:r>
    </w:p>
    <w:p>
      <w:pPr>
        <w:pStyle w:val="ListParagraph"/>
        <w:numPr>
          <w:ilvl w:val="0"/>
          <w:numId w:val="2"/>
        </w:numPr>
        <w:spacing w:after="130"/>
      </w:pPr>
      <w:r>
        <w:rPr>
          <w:color w:val="3A2E1B"/>
        </w:rPr>
        <w:t xml:space="preserve">Data residency in-region; modular market packs; no vendor whose failure we cannot survive in 30 days.</w:t>
      </w:r>
    </w:p>
    <w:p>
      <w:pPr>
        <w:pStyle w:val="Heading1"/>
        <w:pageBreakBefore/>
        <w:spacing w:after="260" w:before="0"/>
      </w:pPr>
      <w:r>
        <w:rPr>
          <w:color w:val="211509"/>
        </w:rPr>
        <w:t xml:space="preserve">2. SYSTEM TOPOLOGY</w:t>
      </w:r>
    </w:p>
    <w:p>
      <w:pPr>
        <w:spacing w:after="160"/>
        <w:jc w:val="both"/>
      </w:pPr>
      <w:r>
        <w:rPr>
          <w:color w:val="3A2E1B"/>
        </w:rPr>
        <w:t xml:space="preserve">Clients: Android (Kotlin, Jetpack Compose — primary), iOS (Swift/SwiftUI), Admin console (React), WhatsApp bot (Business API), USSD gateway integration. Backend: modular monolith first (a deliberate choice for a sub-20-engineer org), in Kotlin/Spring or NestJS per team strength, with four services split out from day one because their load/shape differs: Live Audio (fires), Media (voice pipeline), AI Services (Doc 08), Payments. Everything behind an API gateway (GraphQL for clients, REST webhooks for partners), event backbone on Kafka (or Redpanda), Redis for hot state (drum locks, allowances cache), object storage + CDN for media.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tblHeader/>
        </w:trPr>
        <w:tc>
          <w:tcPr>
            <w:tcW w:type="dxa" w:w="3133"/>
            <w:shd w:fill="F5E9D4" w:val="clear"/>
            <w:tcMar>
              <w:top w:type="dxa" w:w="90"/>
              <w:left w:type="dxa" w:w="130"/>
              <w:bottom w:type="dxa" w:w="90"/>
              <w:right w:type="dxa" w:w="130"/>
            </w:tcMar>
            <w:vAlign w:val="center"/>
          </w:tcPr>
          <w:p>
            <w:pPr>
              <w:spacing w:after="0"/>
            </w:pPr>
            <w:r>
              <w:rPr>
                <w:b/>
                <w:bCs/>
                <w:color w:val="211509"/>
                <w:sz w:val="19"/>
                <w:szCs w:val="19"/>
              </w:rPr>
              <w:t xml:space="preserve">Concern</w:t>
            </w:r>
          </w:p>
        </w:tc>
        <w:tc>
          <w:tcPr>
            <w:tcW w:type="dxa" w:w="3133"/>
            <w:shd w:fill="F5E9D4" w:val="clear"/>
            <w:tcMar>
              <w:top w:type="dxa" w:w="90"/>
              <w:left w:type="dxa" w:w="130"/>
              <w:bottom w:type="dxa" w:w="90"/>
              <w:right w:type="dxa" w:w="130"/>
            </w:tcMar>
            <w:vAlign w:val="center"/>
          </w:tcPr>
          <w:p>
            <w:pPr>
              <w:spacing w:after="0"/>
            </w:pPr>
            <w:r>
              <w:rPr>
                <w:b/>
                <w:bCs/>
                <w:color w:val="211509"/>
                <w:sz w:val="19"/>
                <w:szCs w:val="19"/>
              </w:rPr>
              <w:t xml:space="preserve">Choice</w:t>
            </w:r>
          </w:p>
        </w:tc>
        <w:tc>
          <w:tcPr>
            <w:tcW w:type="dxa" w:w="3133"/>
            <w:shd w:fill="F5E9D4" w:val="clear"/>
            <w:tcMar>
              <w:top w:type="dxa" w:w="90"/>
              <w:left w:type="dxa" w:w="130"/>
              <w:bottom w:type="dxa" w:w="90"/>
              <w:right w:type="dxa" w:w="130"/>
            </w:tcMar>
            <w:vAlign w:val="center"/>
          </w:tcPr>
          <w:p>
            <w:pPr>
              <w:spacing w:after="0"/>
            </w:pPr>
            <w:r>
              <w:rPr>
                <w:b/>
                <w:bCs/>
                <w:color w:val="211509"/>
                <w:sz w:val="19"/>
                <w:szCs w:val="19"/>
              </w:rPr>
              <w:t xml:space="preserve">Why</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Primary datastore</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PostgreSQL (partitioned)</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Relational truth for accounts, ledgers, states; boring and provable</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Obi Graph</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Neo4j (or Postgres+AGE fallback)</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Trust-path queries (shared circles, vouch chains) are native graph traversals</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Search</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OpenSearch</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Circle/member/vendor discovery within privacy scopes</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Voice store</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S3-compatible + CDN</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Opus objects, lifecycle policies, signed URLs</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Realtime fires</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LiveKit (self-host, SFU)</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Open-source WebRTC SFU, 150-seat rooms, recording-off default, in-region deploy</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Async jobs</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Kafka + workers</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Sentinel screening, weaving renders, notifications, settlements</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Feature flags/config</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Unleash (self-host)</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Market packs, cohort gates, four-eyes pricing config</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Infra</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Kubernetes on cloud with African regions (e.g., AWS Cape Town primary) + IaC (Terraform)</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Latency + residency + hiring pool</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Observability</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OpenTelemetry + Grafana stack</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Golden-path monitors per Doc 02 NFR-602</w:t>
            </w:r>
          </w:p>
        </w:tc>
      </w:tr>
    </w:tbl>
    <w:p>
      <w:pPr>
        <w:pStyle w:val="Heading1"/>
        <w:pageBreakBefore/>
        <w:spacing w:after="260" w:before="0"/>
      </w:pPr>
      <w:r>
        <w:rPr>
          <w:color w:val="211509"/>
        </w:rPr>
        <w:t xml:space="preserve">3. THE CRITICAL SUBSYSTEMS</w:t>
      </w:r>
    </w:p>
    <w:p>
      <w:pPr>
        <w:pStyle w:val="Heading3"/>
        <w:spacing w:after="140" w:before="260"/>
      </w:pPr>
      <w:r>
        <w:rPr>
          <w:color w:val="211509"/>
        </w:rPr>
        <w:t xml:space="preserve">3.1 Alternation &amp; state engine</w:t>
      </w:r>
    </w:p>
    <w:p>
      <w:pPr>
        <w:spacing w:after="160"/>
        <w:jc w:val="both"/>
      </w:pPr>
      <w:r>
        <w:rPr>
          <w:color w:val="3A2E1B"/>
        </w:rPr>
        <w:t xml:space="preserve">Rooms, doorways, seeds, and Gate flows run on a single event-sourced state-machine service: commands validated against current state under a per-conversation Redis lock, events appended (Postgres event table, Kafka fan-out), projections drive client reads. Drum possession is a token in state, transferred only by opposing-party message events; idempotency keys on every client send make offline queues safe. This one service enforces FR-201/203/206/301/302 by construction.</w:t>
      </w:r>
    </w:p>
    <w:p>
      <w:pPr>
        <w:pStyle w:val="Heading3"/>
        <w:spacing w:after="140" w:before="260"/>
      </w:pPr>
      <w:r>
        <w:rPr>
          <w:color w:val="211509"/>
        </w:rPr>
        <w:t xml:space="preserve">3.2 Voice pipeline</w:t>
      </w:r>
    </w:p>
    <w:p>
      <w:pPr>
        <w:spacing w:after="160"/>
        <w:jc w:val="both"/>
      </w:pPr>
      <w:r>
        <w:rPr>
          <w:color w:val="3A2E1B"/>
        </w:rPr>
        <w:t xml:space="preserve">Client records AAC→transcodes to Opus 16–24 kbps adaptive on-device; upload via resumable chunks; server pipeline: virus scan → Sentinel screen (Doc 08) → transcription (Whisper-class model, per-language) → storage + waveform peaks JSON → delivery event. Playback via CDN signed URLs with progressive start; playback-telemetry beacons (for the 20 s sow-arm rule) are batched and privacy-scoped (never expose partial listens to sowers — enforced at the projection layer, FR-205).</w:t>
      </w:r>
    </w:p>
    <w:p>
      <w:pPr>
        <w:pStyle w:val="Heading3"/>
        <w:spacing w:after="140" w:before="260"/>
      </w:pPr>
      <w:r>
        <w:rPr>
          <w:color w:val="211509"/>
        </w:rPr>
        <w:t xml:space="preserve">3.3 Fires (live audio)</w:t>
      </w:r>
    </w:p>
    <w:p>
      <w:pPr>
        <w:spacing w:after="160"/>
        <w:jc w:val="both"/>
      </w:pPr>
      <w:r>
        <w:rPr>
          <w:color w:val="3A2E1B"/>
        </w:rPr>
        <w:t xml:space="preserve">LiveKit SFU pods per city-region; rooms capped 150; host-control APIs (stage, mute, eject) via room service; game segments are data-channel overlays; ember issuance is a close-of-room transaction in the state engine. Degradation ladder: full duplex → listen-only → text-react. Capacity plan: 1 vCPU-ish per ~40 audio subscribers; autoscale on the 18:30–22:30 window schedule plus reactive.</w:t>
      </w:r>
    </w:p>
    <w:p>
      <w:pPr>
        <w:pStyle w:val="Heading3"/>
        <w:spacing w:after="140" w:before="260"/>
      </w:pPr>
      <w:r>
        <w:rPr>
          <w:color w:val="211509"/>
        </w:rPr>
        <w:t xml:space="preserve">3.4 Payments</w:t>
      </w:r>
    </w:p>
    <w:p>
      <w:pPr>
        <w:spacing w:after="160"/>
        <w:jc w:val="both"/>
      </w:pPr>
      <w:r>
        <w:rPr>
          <w:color w:val="3A2E1B"/>
        </w:rPr>
        <w:t xml:space="preserve">MoMo aggregator (evaluate: direct MTN MoMo API + Telecel/AT via aggregator such as Hubtel/Paystack GH) behind an internal Payments service exposing: charge (push-USSD), subscription schedule (internal scheduler, not telco-side), payout (matchmaker/host settlements), refund. Double-entry ledger in Postgres is the source of truth; daily reconciliation jobs against provider statements; idempotent webhooks. Diaspora: Stripe/PayPal in a separate PCI-scoped enclave. Sika Shield is not only ML — the payments service simply has no member-to-member primitive; nothing to police at the rail level.</w:t>
      </w:r>
    </w:p>
    <w:p>
      <w:pPr>
        <w:pStyle w:val="Heading3"/>
        <w:spacing w:after="140" w:before="260"/>
      </w:pPr>
      <w:r>
        <w:rPr>
          <w:color w:val="211509"/>
        </w:rPr>
        <w:t xml:space="preserve">3.5 Identity &amp; verification</w:t>
      </w:r>
    </w:p>
    <w:p>
      <w:pPr>
        <w:spacing w:after="160"/>
        <w:jc w:val="both"/>
      </w:pPr>
      <w:r>
        <w:rPr>
          <w:color w:val="3A2E1B"/>
        </w:rPr>
        <w:t xml:space="preserve">Integration with Ghana’s identity verification service via an accredited partner API for card authenticity; NFC read on capable devices, OCR+face-match fallback; liveness models in AI Services; biometric templates envelope-encrypted, keyed per user, isolated schema, access-audited. Vouch attestations are append-only records feeding the Obi Graph.</w:t>
      </w:r>
    </w:p>
    <w:p>
      <w:pPr>
        <w:pStyle w:val="Heading1"/>
        <w:pageBreakBefore/>
        <w:spacing w:after="260" w:before="0"/>
      </w:pPr>
      <w:r>
        <w:rPr>
          <w:color w:val="211509"/>
        </w:rPr>
        <w:t xml:space="preserve">4. API AND CONTRACT DISCIPLINE</w:t>
      </w:r>
    </w:p>
    <w:p>
      <w:pPr>
        <w:pStyle w:val="ListParagraph"/>
        <w:numPr>
          <w:ilvl w:val="0"/>
          <w:numId w:val="3"/>
        </w:numPr>
        <w:spacing w:after="120"/>
      </w:pPr>
      <w:r>
        <w:rPr>
          <w:color w:val="3A2E1B"/>
        </w:rPr>
        <w:t xml:space="preserve">GraphQL schema is the product contract; persisted queries only in production clients; schema changes via RFC + versioned deprecation.</w:t>
      </w:r>
    </w:p>
    <w:p>
      <w:pPr>
        <w:pStyle w:val="ListParagraph"/>
        <w:numPr>
          <w:ilvl w:val="0"/>
          <w:numId w:val="3"/>
        </w:numPr>
        <w:spacing w:after="120"/>
      </w:pPr>
      <w:r>
        <w:rPr>
          <w:color w:val="3A2E1B"/>
        </w:rPr>
        <w:t xml:space="preserve">Partner webhooks (payments, ID, WhatsApp) verified by signature, replay-protected, dead-lettered with alerting.</w:t>
      </w:r>
    </w:p>
    <w:p>
      <w:pPr>
        <w:pStyle w:val="ListParagraph"/>
        <w:numPr>
          <w:ilvl w:val="0"/>
          <w:numId w:val="3"/>
        </w:numPr>
        <w:spacing w:after="120"/>
      </w:pPr>
      <w:r>
        <w:rPr>
          <w:color w:val="3A2E1B"/>
        </w:rPr>
        <w:t xml:space="preserve">Internal service contracts in protobuf; event schemas registered (schema registry) — analytics taxonomy (Doc 08) is enforced at the producer.</w:t>
      </w:r>
    </w:p>
    <w:p>
      <w:pPr>
        <w:pStyle w:val="Heading1"/>
        <w:pageBreakBefore/>
        <w:spacing w:after="260" w:before="0"/>
      </w:pPr>
      <w:r>
        <w:rPr>
          <w:color w:val="211509"/>
        </w:rPr>
        <w:t xml:space="preserve">5. ENVIRONMENTS, CI/CD, AND QUALITY GATES</w:t>
      </w:r>
    </w:p>
    <w:p>
      <w:pPr>
        <w:pStyle w:val="ListParagraph"/>
        <w:numPr>
          <w:ilvl w:val="0"/>
          <w:numId w:val="3"/>
        </w:numPr>
        <w:spacing w:after="120"/>
      </w:pPr>
      <w:r>
        <w:rPr>
          <w:color w:val="3A2E1B"/>
        </w:rPr>
        <w:t xml:space="preserve">Envs: dev → staging (synthetic data only — no production member data ever leaves prod) → prod. Seeded staging personas replicate Doc 01 personas.</w:t>
      </w:r>
    </w:p>
    <w:p>
      <w:pPr>
        <w:pStyle w:val="ListParagraph"/>
        <w:numPr>
          <w:ilvl w:val="0"/>
          <w:numId w:val="3"/>
        </w:numPr>
        <w:spacing w:after="120"/>
      </w:pPr>
      <w:r>
        <w:rPr>
          <w:color w:val="3A2E1B"/>
        </w:rPr>
        <w:t xml:space="preserve">CI gates: unit+contract tests, alternation/allowance/Sika fuzz suites, banned-pattern lint (notifications), contrast lint (Doc 05), size budget check (≤35 MB), device-lab benchmark on reference hardware.</w:t>
      </w:r>
    </w:p>
    <w:p>
      <w:pPr>
        <w:pStyle w:val="ListParagraph"/>
        <w:numPr>
          <w:ilvl w:val="0"/>
          <w:numId w:val="3"/>
        </w:numPr>
        <w:spacing w:after="120"/>
      </w:pPr>
      <w:r>
        <w:rPr>
          <w:color w:val="3A2E1B"/>
        </w:rPr>
        <w:t xml:space="preserve">Release: feature-flagged trunk, weekly mobile trains, staged rollouts (5→25→100%), one-tap kill switches on Sow, Fires, Payments.</w:t>
      </w:r>
    </w:p>
    <w:p>
      <w:pPr>
        <w:pStyle w:val="Heading1"/>
        <w:pageBreakBefore/>
        <w:spacing w:after="260" w:before="0"/>
      </w:pPr>
      <w:r>
        <w:rPr>
          <w:color w:val="211509"/>
        </w:rPr>
        <w:t xml:space="preserve">6. INTEGRATION REGISTER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tblHeader/>
        </w:trPr>
        <w:tc>
          <w:tcPr>
            <w:tcW w:type="dxa" w:w="2350"/>
            <w:shd w:fill="F5E9D4" w:val="clear"/>
            <w:tcMar>
              <w:top w:type="dxa" w:w="90"/>
              <w:left w:type="dxa" w:w="130"/>
              <w:bottom w:type="dxa" w:w="90"/>
              <w:right w:type="dxa" w:w="130"/>
            </w:tcMar>
            <w:vAlign w:val="center"/>
          </w:tcPr>
          <w:p>
            <w:pPr>
              <w:spacing w:after="0"/>
            </w:pPr>
            <w:r>
              <w:rPr>
                <w:b/>
                <w:bCs/>
                <w:color w:val="211509"/>
                <w:sz w:val="19"/>
                <w:szCs w:val="19"/>
              </w:rPr>
              <w:t xml:space="preserve">Integration</w:t>
            </w:r>
          </w:p>
        </w:tc>
        <w:tc>
          <w:tcPr>
            <w:tcW w:type="dxa" w:w="2350"/>
            <w:shd w:fill="F5E9D4" w:val="clear"/>
            <w:tcMar>
              <w:top w:type="dxa" w:w="90"/>
              <w:left w:type="dxa" w:w="130"/>
              <w:bottom w:type="dxa" w:w="90"/>
              <w:right w:type="dxa" w:w="130"/>
            </w:tcMar>
            <w:vAlign w:val="center"/>
          </w:tcPr>
          <w:p>
            <w:pPr>
              <w:spacing w:after="0"/>
            </w:pPr>
            <w:r>
              <w:rPr>
                <w:b/>
                <w:bCs/>
                <w:color w:val="211509"/>
                <w:sz w:val="19"/>
                <w:szCs w:val="19"/>
              </w:rPr>
              <w:t xml:space="preserve">Purpose</w:t>
            </w:r>
          </w:p>
        </w:tc>
        <w:tc>
          <w:tcPr>
            <w:tcW w:type="dxa" w:w="2350"/>
            <w:shd w:fill="F5E9D4" w:val="clear"/>
            <w:tcMar>
              <w:top w:type="dxa" w:w="90"/>
              <w:left w:type="dxa" w:w="130"/>
              <w:bottom w:type="dxa" w:w="90"/>
              <w:right w:type="dxa" w:w="130"/>
            </w:tcMar>
            <w:vAlign w:val="center"/>
          </w:tcPr>
          <w:p>
            <w:pPr>
              <w:spacing w:after="0"/>
            </w:pPr>
            <w:r>
              <w:rPr>
                <w:b/>
                <w:bCs/>
                <w:color w:val="211509"/>
                <w:sz w:val="19"/>
                <w:szCs w:val="19"/>
              </w:rPr>
              <w:t xml:space="preserve">Criticality</w:t>
            </w:r>
          </w:p>
        </w:tc>
        <w:tc>
          <w:tcPr>
            <w:tcW w:type="dxa" w:w="2350"/>
            <w:shd w:fill="F5E9D4" w:val="clear"/>
            <w:tcMar>
              <w:top w:type="dxa" w:w="90"/>
              <w:left w:type="dxa" w:w="130"/>
              <w:bottom w:type="dxa" w:w="90"/>
              <w:right w:type="dxa" w:w="130"/>
            </w:tcMar>
            <w:vAlign w:val="center"/>
          </w:tcPr>
          <w:p>
            <w:pPr>
              <w:spacing w:after="0"/>
            </w:pPr>
            <w:r>
              <w:rPr>
                <w:b/>
                <w:bCs/>
                <w:color w:val="211509"/>
                <w:sz w:val="19"/>
                <w:szCs w:val="19"/>
              </w:rPr>
              <w:t xml:space="preserve">Fallback</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National ID verify partner</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Tier-1 authenticity</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Launch-blocking</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Human review queue (degraded SLA)</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MTN MoMo / Telecel / AT</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All GH payments</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Launch-blocking</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Cross-network retry; grace states</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WhatsApp Business API</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Bot companion, OTP fallback, Gate links</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High</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SMS + in-app only</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SMS aggregator</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OTP, receipts, USSD callbacks</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High</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Dual-provider</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LiveKit infra</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Fires</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High (P0 week 6+)</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Scheduled fires pause; app unaffected</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Weaver partners (Harvest)</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Cloth production</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P2</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Manual concierge ops</w:t>
            </w:r>
          </w:p>
        </w:tc>
      </w:tr>
    </w:tbl>
    <w:p>
      <w:pPr>
        <w:pStyle w:val="Heading1"/>
        <w:pageBreakBefore/>
        <w:spacing w:after="260" w:before="0"/>
      </w:pPr>
      <w:r>
        <w:rPr>
          <w:color w:val="211509"/>
        </w:rPr>
        <w:t xml:space="preserve">7. COST ENVELOPE (ORDER-OF-MAGNITUDE, MONTHLY AT 100K MAU)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tblHeader/>
        </w:trPr>
        <w:tc>
          <w:tcPr>
            <w:tcW w:type="dxa" w:w="3133"/>
            <w:shd w:fill="F5E9D4" w:val="clear"/>
            <w:tcMar>
              <w:top w:type="dxa" w:w="90"/>
              <w:left w:type="dxa" w:w="130"/>
              <w:bottom w:type="dxa" w:w="90"/>
              <w:right w:type="dxa" w:w="130"/>
            </w:tcMar>
            <w:vAlign w:val="center"/>
          </w:tcPr>
          <w:p>
            <w:pPr>
              <w:spacing w:after="0"/>
            </w:pPr>
            <w:r>
              <w:rPr>
                <w:b/>
                <w:bCs/>
                <w:color w:val="211509"/>
                <w:sz w:val="19"/>
                <w:szCs w:val="19"/>
              </w:rPr>
              <w:t xml:space="preserve">Line</w:t>
            </w:r>
          </w:p>
        </w:tc>
        <w:tc>
          <w:tcPr>
            <w:tcW w:type="dxa" w:w="3133"/>
            <w:shd w:fill="F5E9D4" w:val="clear"/>
            <w:tcMar>
              <w:top w:type="dxa" w:w="90"/>
              <w:left w:type="dxa" w:w="130"/>
              <w:bottom w:type="dxa" w:w="90"/>
              <w:right w:type="dxa" w:w="130"/>
            </w:tcMar>
            <w:vAlign w:val="center"/>
          </w:tcPr>
          <w:p>
            <w:pPr>
              <w:spacing w:after="0"/>
            </w:pPr>
            <w:r>
              <w:rPr>
                <w:b/>
                <w:bCs/>
                <w:color w:val="211509"/>
                <w:sz w:val="19"/>
                <w:szCs w:val="19"/>
              </w:rPr>
              <w:t xml:space="preserve">Est. US$</w:t>
            </w:r>
          </w:p>
        </w:tc>
        <w:tc>
          <w:tcPr>
            <w:tcW w:type="dxa" w:w="3133"/>
            <w:shd w:fill="F5E9D4" w:val="clear"/>
            <w:tcMar>
              <w:top w:type="dxa" w:w="90"/>
              <w:left w:type="dxa" w:w="130"/>
              <w:bottom w:type="dxa" w:w="90"/>
              <w:right w:type="dxa" w:w="130"/>
            </w:tcMar>
            <w:vAlign w:val="center"/>
          </w:tcPr>
          <w:p>
            <w:pPr>
              <w:spacing w:after="0"/>
            </w:pPr>
            <w:r>
              <w:rPr>
                <w:b/>
                <w:bCs/>
                <w:color w:val="211509"/>
                <w:sz w:val="19"/>
                <w:szCs w:val="19"/>
              </w:rPr>
              <w:t xml:space="preserve">Driver</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Compute/K8s + DB</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4–7k</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State engine, projections</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Media storage+CDN</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2–4k</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Voice objects (lifecycle-tiered)</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Live audio</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1.5–3k</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Fire-hours × seats</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AI inference</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2–5k</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Transcription + Sentinel (Doc 08 optimizations)</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Comms (SMS/WA)</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1.5–3k</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OTP + notifications</w:t>
            </w:r>
          </w:p>
        </w:tc>
      </w:tr>
      <w:tr>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Payments costs</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~1.1% of MoMo volume</w:t>
            </w:r>
          </w:p>
        </w:tc>
        <w:tc>
          <w:tcPr>
            <w:tcW w:type="dxa" w:w="3133"/>
            <w:tcMar>
              <w:top w:type="dxa" w:w="90"/>
              <w:left w:type="dxa" w:w="130"/>
              <w:bottom w:type="dxa" w:w="90"/>
              <w:right w:type="dxa" w:w="130"/>
            </w:tcMar>
            <w:vAlign w:val="center"/>
          </w:tcPr>
          <w:p>
            <w:pPr>
              <w:spacing w:after="0"/>
            </w:pPr>
            <w:r>
              <w:rPr>
                <w:b w:val="false"/>
                <w:bCs w:val="false"/>
                <w:color w:val="3A2E1B"/>
                <w:sz w:val="19"/>
                <w:szCs w:val="19"/>
              </w:rPr>
              <w:t xml:space="preserve">Netted in Doc 03 margins</w:t>
            </w:r>
          </w:p>
        </w:tc>
      </w:tr>
    </w:tbl>
    <w:p>
      <w:pPr>
        <w:spacing w:after="160"/>
        <w:jc w:val="both"/>
      </w:pPr>
      <w:r>
        <w:rPr>
          <w:color w:val="3A2E1B"/>
        </w:rPr>
        <w:t xml:space="preserve">Total infra at 100k MAU ≈ US$12–22k/month — inside Doc 03 gross-margin targets. The AI line is the one to watch; Doc 08 specifies the batching/on-device tactics that hold it.</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94A2B"/>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sz w:val="34"/>
      <w:szCs w:val="34"/>
    </w:rPr>
  </w:style>
  <w:style w:type="paragraph" w:styleId="Heading2">
    <w:name w:val="Heading 2"/>
    <w:basedOn w:val="Normal"/>
    <w:next w:val="Normal"/>
    <w:qFormat/>
    <w:rPr>
      <w:rFonts w:ascii="Georgia" w:cs="Georgia" w:eastAsia="Georgia" w:hAnsi="Georgia"/>
      <w:b/>
      <w:bCs/>
      <w:sz w:val="27"/>
      <w:szCs w:val="27"/>
    </w:rPr>
  </w:style>
  <w:style w:type="paragraph" w:styleId="Heading3">
    <w:name w:val="Heading 3"/>
    <w:basedOn w:val="Normal"/>
    <w:next w:val="Normal"/>
    <w:qFormat/>
    <w:rPr>
      <w:rFonts w:ascii="Georgia" w:cs="Georgia" w:eastAsia="Georgia" w:hAnsi="Georgia"/>
      <w:b/>
      <w:bCs/>
      <w:i/>
      <w:i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2026-07-17T00:20:59.179Z</dcterms:created>
  <dcterms:modified xsi:type="dcterms:W3CDTF">2026-07-17T00:20:59.179Z</dcterms:modified>
</cp:coreProperties>
</file>

<file path=docProps/custom.xml><?xml version="1.0" encoding="utf-8"?>
<Properties xmlns="http://schemas.openxmlformats.org/officeDocument/2006/custom-properties" xmlns:vt="http://schemas.openxmlformats.org/officeDocument/2006/docPropsVTypes"/>
</file>