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b/>
          <w:bCs/>
          <w:color w:val="211509"/>
          <w:spacing w:val="60"/>
          <w:sz w:val="100"/>
          <w:szCs w:val="100"/>
        </w:rPr>
        <w:t xml:space="preserve">OBIARA</w:t>
      </w:r>
    </w:p>
    <w:p>
      <w:pPr>
        <w:spacing w:after="60" w:before="120"/>
        <w:jc w:val="center"/>
      </w:pPr>
      <w:r>
        <w:rPr>
          <w:color w:val="B94A2B"/>
          <w:sz w:val="34"/>
          <w:szCs w:val="34"/>
        </w:rPr>
        <w:t xml:space="preserve">Data Model and AI Specification</w:t>
      </w:r>
    </w:p>
    <w:p>
      <w:pPr>
        <w:spacing w:after="1500" w:before="40"/>
        <w:jc w:val="center"/>
      </w:pPr>
      <w:r>
        <w:rPr>
          <w:color w:val="7A6547"/>
          <w:sz w:val="22"/>
          <w:szCs w:val="22"/>
        </w:rPr>
        <w:t xml:space="preserve">Document 08 · The Obi Graph, Suban and Three Intelligences</w:t>
      </w:r>
    </w:p>
    <w:p>
      <w:pPr>
        <w:spacing w:after="40" w:before="1200"/>
        <w:jc w:val="center"/>
      </w:pPr>
      <w:r>
        <w:rPr>
          <w:color w:val="211509"/>
          <w:sz w:val="22"/>
          <w:szCs w:val="22"/>
        </w:rPr>
        <w:t xml:space="preserve">XCreativs Technologies Ltd · Accra, Ghana</w:t>
      </w:r>
    </w:p>
    <w:p>
      <w:pPr>
        <w:jc w:val="center"/>
      </w:pPr>
      <w:r>
        <w:rPr>
          <w:color w:val="7A6547"/>
          <w:sz w:val="20"/>
          <w:szCs w:val="20"/>
        </w:rPr>
        <w:t xml:space="preserve">July 2026 · Confidential · The Obiara Build Pack</w:t>
      </w:r>
    </w:p>
    <w:p>
      <w:r>
        <w:br w:type="page"/>
      </w:r>
    </w:p>
    <w:p>
      <w:pPr>
        <w:pStyle w:val="Heading1"/>
        <w:spacing w:after="200"/>
      </w:pPr>
      <w:r>
        <w:rPr>
          <w:color w:val="21150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60" w:before="0"/>
      </w:pPr>
      <w:r>
        <w:rPr>
          <w:color w:val="211509"/>
        </w:rPr>
        <w:t xml:space="preserve">1. THE OBI GRAPH SCHEMA</w:t>
      </w:r>
    </w:p>
    <w:p>
      <w:pPr>
        <w:pStyle w:val="Heading3"/>
        <w:spacing w:after="140" w:before="260"/>
      </w:pPr>
      <w:r>
        <w:rPr>
          <w:color w:val="211509"/>
        </w:rPr>
        <w:t xml:space="preserve">1.1 Nodes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Node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Key properties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Person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tier, status, languages, hometownRegion, intent, subanState(ref)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PII minimized on graph; heavy PII stays relational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Circle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type, verifiedInstitution, region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Vouch-eligibility flag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Matchmaker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licenseState, specialties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Extends Person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FireEvent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type, hostRef, capacity, occurredAt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Attendance edges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CeremonyEvent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kind (gate/exclusive/aseda/wedding)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Witnessed milestones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ClothArtifact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pairRef, bandLog, renderSeed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Pair-owned copies</w:t>
            </w:r>
          </w:p>
        </w:tc>
      </w:tr>
    </w:tbl>
    <w:p>
      <w:pPr>
        <w:pStyle w:val="Heading3"/>
        <w:spacing w:after="140" w:before="260"/>
      </w:pPr>
      <w:r>
        <w:rPr>
          <w:color w:val="211509"/>
        </w:rPr>
        <w:t xml:space="preserve">1.2 Edges (typed, timestamped, provenance-carrying)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Edge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From→To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Properties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MEMBER_OF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Person→Circle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role, joinedAt, visibility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VOUCHES_FOR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Person→Person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circleAnchor, attestedAt, stakeState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SOWED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Person→Person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seedId, outcome(heard/declined/sprouted), at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COURTING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Person↔Person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state(doorway/room/resting/closed/exclusive/gate/aseda), stateLog[]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INTRODUCED_BY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Courting→Person|Matchmaker|FireEvent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provenance of every bond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ATTENDED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Person→FireEvent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emberGiven?, emberReceived?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KIN_OF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Person→Person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label(declared), gateVisibleOnly</w:t>
            </w:r>
          </w:p>
        </w:tc>
      </w:tr>
    </w:tbl>
    <w:p>
      <w:pPr>
        <w:spacing w:after="160"/>
        <w:jc w:val="both"/>
      </w:pPr>
      <w:r>
        <w:rPr>
          <w:color w:val="3A2E1B"/>
        </w:rPr>
        <w:t xml:space="preserve">Design laws: every romantic edge records its provenance (the trust path that created it); COURTING stateLog is append-only and drives the cloth, the metrics, and — with consent — the matching intelligence. Graph queries power: trust-path chips (shared circles, vouch chains ≤3 hops), syndicate detection (Sentinel), and matchmaker attribution.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2. RELATIONAL CORE (POSTGRES) — PRINCIPAL TABLES</w:t>
      </w:r>
    </w:p>
    <w:p>
      <w:pPr>
        <w:spacing w:after="160"/>
        <w:jc w:val="both"/>
      </w:pPr>
      <w:r>
        <w:rPr>
          <w:color w:val="3A2E1B"/>
        </w:rPr>
        <w:t xml:space="preserve">accounts, identity_verifications (isolated schema, envelope keys), profiles, voice_assets, doorway_questions, seeds (allowance ledger — debit/credit rows, never a mutable counter), pods, doorway_threads, rooms, room_events (event-sourced), pause_stones, themes_progress, gates, gate_reviewers, cloths, games, game_moves, fires, fire_attendance, embers, circles, circle_members, vouches, suban_events, suban_marks, matchmaker_engagements, orders, ledger_entries (double-entry), payouts, reports, ts_cases, panel_rulings, consents (per-purpose, versioned), notification_prefs, market_packs.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Retention headline (full table in Doc 09): voice in closed rooms 180 d then crypto-erased unless the owner exports; Gate packs 30 d for reviewers; Sentinel case evidence per legal-hold policy; analytics events pseudonymized at 90 d.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3. EVENT TAXONOMY (ANALYTICS)</w:t>
      </w:r>
    </w:p>
    <w:p>
      <w:pPr>
        <w:spacing w:after="160"/>
        <w:jc w:val="both"/>
      </w:pPr>
      <w:r>
        <w:rPr>
          <w:color w:val="3A2E1B"/>
        </w:rPr>
        <w:t xml:space="preserve">Producer-enforced schema; no event carries conversation content, voice, or free text. Naming: zone.object_action.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Event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Key props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Feeds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epono.pod_heard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durationPct, trustPathType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Pods-heard rate (north-star input)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epono.seed_sown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targetSource(intro/circle/ember/nnoboa/matchmaker)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Source-quality mix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epono.sprout_opened / room_opened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latency, source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Funnel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danmu.drum_passed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responseLatencyBucket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Conversation health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danmu.theme_completed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themeId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Depth metric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danmu.room_closed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mode(kind/expiry/relight)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Dignity metrics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gyaase.fire_attended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type, minutes, gamesPlayed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Fire engine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gyaase.ember_converted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—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Warm-intro efficacy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ceremony.gate_crossed / aseda_declared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—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North star: Trusted Bonds Formed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wellbeing.regret_reported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surface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The truth metric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commerce.order_completed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sku, market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Doc 03 tracking</w:t>
            </w:r>
          </w:p>
        </w:tc>
      </w:tr>
    </w:tbl>
    <w:p>
      <w:pPr>
        <w:pStyle w:val="Heading1"/>
        <w:pageBreakBefore/>
        <w:spacing w:after="260" w:before="0"/>
      </w:pPr>
      <w:r>
        <w:rPr>
          <w:color w:val="211509"/>
        </w:rPr>
        <w:t xml:space="preserve">4. SUBAN: THE CHARACTER LEDGER (ALGORITHM V1)</w:t>
      </w:r>
    </w:p>
    <w:p>
      <w:pPr>
        <w:spacing w:after="160"/>
        <w:jc w:val="both"/>
      </w:pPr>
      <w:r>
        <w:rPr>
          <w:color w:val="3A2E1B"/>
        </w:rPr>
        <w:t xml:space="preserve">Inputs (each an auditable suban_event): meeting follow-through confirmations (+), kind closures (+ small), pause-stone use (+ small), completed themes (+ small), vouches given that stay clean (+), decline-with-grace streaks (+ tiny); ghost-pattern (0 first, − thereafter), harassment findings (−− per panel tier), fraud findings (account-ending), vouch-stake losses (− propagated). Decay: positive events half-life 12 months (character must stay in practice); negatives per Doc 09 rehabilitation table.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Expression: never a number to members. Thresholded marks only ("Keeps his word" ≥3 confirmed meetings; "Gracious" closure pattern; "Trusted voucher"). Allowance bonus: +1 seed at S2 band, +3 at S4 (bands internal).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Anti-gaming: reciprocal-confirmation collusion detected via graph symmetry checks; event caps per period; marks are recomputable from the ledger (no cached authority).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Governance: formula changes require Mpanyimfo consultation + changelog publication in the transparency report. Members can view every event behind their own marks.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5. AI SYSTEM 1 — MATCHING INTELLIGENCE (V1 SCOPE)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Inputs (consent-gated per purpose): structured profile + intent, values-tags from Voice of Introduction (member-reviewed), Doorway Question semantics, trust-path features from the Obi Graph, Nnoboa/matchmaker priors (high weight), and outcome labels from COURTING stateLogs (theme completion, Gate, Aseda).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Architecture: two-tower embedding (values/life-plan text encoder over transcripts+answers) + gradient-boosted ranker over graph/context features; hard-constraint filter layer executes dealbreakers (faith/practice, timeline, location, age bounds) before any scoring — constraints are compiled, not learned.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Objective: P(reaching a mutually-rated-good room of ≥3 exchanges) in v1 → migrating to P(theme-2 completion) as data accrues; explicit negative penalty on predicted-decline exposure (protect doorways from hopeless sows).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Explainability: every Introduction card must render a true reason ("resonance" lines are template-grounded in actual shared tags — never generated flattery).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Fairness audits quarterly: exposure parity across ethnicity-proxy features is monitored and corrected; skin-tone and tribe are never model features; colorism drift is an audited failure class.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Cold start: pure rules+graph for first 5k members (shared circles, complementary intents, language match) — the fires and Nnoboa carry liquidity while data grows.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6. AI SYSTEM 2 — THE OKYEAME (V1 SCOPE)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3A2E1B"/>
        </w:rPr>
        <w:t xml:space="preserve">Model strategy: hosted LLM (Claude-class) behind our AI gateway with a strict persona/system contract; per-language prompt packs; translation via dedicated MT for GH languages with LLM smoothing; voice in/out via ASR/TTS (Twi TTS: partner or fine-tuned open model — quality gate before ship).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3A2E1B"/>
        </w:rPr>
        <w:t xml:space="preserve">Capability whitelist v1: counsel on drafts (private), cultural briefings, theme facilitation, translation, proverb service, Gate question relay wording, kind-closure help. Hard bans: initiating romance, impersonating members, autonomous message sending, therapy claims, discussing other members’ private data.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3A2E1B"/>
        </w:rPr>
        <w:t xml:space="preserve">Disclosure law: AI-assisted drafts are marked to their author; ghostwriting throttle (assist-rate cap per thread) keeps voices human.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3A2E1B"/>
        </w:rPr>
        <w:t xml:space="preserve">Safety: okyeame refuses and escalates on self-harm/violence/abuse signals per Doc 09 playbook; all okyeame counsel is excluded from matching features (counsel privacy).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3A2E1B"/>
        </w:rPr>
        <w:t xml:space="preserve">Cost control: response caching on briefings/proverbs, small-model routing for classification tasks, LLM only where language generation is the product.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7. AI SYSTEM 3 — THE SENTINEL (V1 SCOPE)</w:t>
      </w:r>
    </w:p>
    <w:p>
      <w:pPr>
        <w:pStyle w:val="ListParagraph"/>
        <w:numPr>
          <w:ilvl w:val="0"/>
          <w:numId w:val="5"/>
        </w:numPr>
        <w:spacing w:after="130"/>
      </w:pPr>
      <w:r>
        <w:rPr>
          <w:color w:val="3A2E1B"/>
        </w:rPr>
        <w:t xml:space="preserve">Liveness: face+voice anti-spoof ensemble; deepfake screen on enrollment and step-ups; uncertainty → human queue (never silent pass).</w:t>
      </w:r>
    </w:p>
    <w:p>
      <w:pPr>
        <w:pStyle w:val="ListParagraph"/>
        <w:numPr>
          <w:ilvl w:val="0"/>
          <w:numId w:val="5"/>
        </w:numPr>
        <w:spacing w:after="130"/>
      </w:pPr>
      <w:r>
        <w:rPr>
          <w:color w:val="3A2E1B"/>
        </w:rPr>
        <w:t xml:space="preserve">Sow/pod screening (pre-delivery): contact-exfiltration (numbers, handles, "find me on"), payment/gift language, sexual-content gate, threat/abuse — multilingual classifiers incl. Twi/Pidgin code-switch training set (build with local annotation partner under Doc 09 worker-welfare terms).</w:t>
      </w:r>
    </w:p>
    <w:p>
      <w:pPr>
        <w:pStyle w:val="ListParagraph"/>
        <w:numPr>
          <w:ilvl w:val="0"/>
          <w:numId w:val="5"/>
        </w:numPr>
        <w:spacing w:after="130"/>
      </w:pPr>
      <w:r>
        <w:rPr>
          <w:color w:val="3A2E1B"/>
        </w:rPr>
        <w:t xml:space="preserve">Scam-arc detector (rooms, consent-map-governed): sequence model over metadata+screened-content signals for the documented West-African playbooks (accelerated affection cadence, emergency narrative onset, off-platform pull, ask patterns); action ladder: silent watch → in-context education card to the at-risk party → interaction friction → T&amp;S case.</w:t>
      </w:r>
    </w:p>
    <w:p>
      <w:pPr>
        <w:pStyle w:val="ListParagraph"/>
        <w:numPr>
          <w:ilvl w:val="0"/>
          <w:numId w:val="5"/>
        </w:numPr>
        <w:spacing w:after="130"/>
      </w:pPr>
      <w:r>
        <w:rPr>
          <w:color w:val="3A2E1B"/>
        </w:rPr>
        <w:t xml:space="preserve">Graph syndicate detection: device/biometric/behavioral clustering, vouch-ring anomalies, mass-sow patterns; honeypot doorway program (T&amp;S-operated personas, legally reviewed).</w:t>
      </w:r>
    </w:p>
    <w:p>
      <w:pPr>
        <w:pStyle w:val="ListParagraph"/>
        <w:numPr>
          <w:ilvl w:val="0"/>
          <w:numId w:val="5"/>
        </w:numPr>
        <w:spacing w:after="130"/>
      </w:pPr>
      <w:r>
        <w:rPr>
          <w:color w:val="3A2E1B"/>
        </w:rPr>
        <w:t xml:space="preserve">Sika Shield: rail-level absence of member payments (Doc 07) + language interception above + registry-only gifting post-milestone; interception precision target ≥95% before auto-friction (below it, human review).</w:t>
      </w:r>
    </w:p>
    <w:p>
      <w:pPr>
        <w:pStyle w:val="ListParagraph"/>
        <w:numPr>
          <w:ilvl w:val="0"/>
          <w:numId w:val="5"/>
        </w:numPr>
        <w:spacing w:after="130"/>
      </w:pPr>
      <w:r>
        <w:rPr>
          <w:color w:val="3A2E1B"/>
        </w:rPr>
        <w:t xml:space="preserve">KPIs: fraud attempts per 1k members, interception rate on red-team scripts ≥90% (P1 gate), false-positive appeals overturn rate &lt;8%, time-to-takedown p50 &lt;2 h.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8. CONSENT MAP (THE MASTER SWITCHBOARD)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Purpose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Default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Member control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Data classes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Identity &amp; safety processing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Required for service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Cannot disable (lawful basis: contract+legitimate interest)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ID, liveness, screening signals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Matching personalization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Opt-in at S-06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Per-source toggles; full off = rules-only intros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Values tags, transcripts-derived features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Scam-arc room monitoring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Opt-out available with warning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Per-room override; off = education-only mode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Metadata + screened signals; E2E design per Doc 09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Play-portraits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Opt-in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View/delete anytime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Game telemetry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Product analytics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Opt-out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One toggle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Pseudonymous events only</w:t>
            </w:r>
          </w:p>
        </w:tc>
      </w:tr>
    </w:tbl>
    <w:p>
      <w:pPr>
        <w:spacing w:after="160"/>
        <w:jc w:val="both"/>
      </w:pPr>
      <w:r>
        <w:rPr>
          <w:color w:val="3A2E1B"/>
        </w:rPr>
        <w:t xml:space="preserve">Engineering rule: every feature PR that touches member data must name its consent-map row; CI blocks unmapped access. The consent map is the constitution’s enforcement mechanism, and it is what lets Obiara say, truthfully, that trust here is architecture.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B94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i/>
      <w:i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2026-07-17T00:20:59.323Z</dcterms:created>
  <dcterms:modified xsi:type="dcterms:W3CDTF">2026-07-17T00:20:59.324Z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