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Trust and Safety Playbook and Compliance Pack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09 · Policy, Panels, Care and Law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THE SAFETY CONSTITUTION</w:t>
      </w:r>
    </w:p>
    <w:p>
      <w:pPr>
        <w:spacing w:after="160"/>
        <w:jc w:val="both"/>
      </w:pPr>
      <w:r>
        <w:rPr>
          <w:color w:val="3A2E1B"/>
        </w:rPr>
        <w:t xml:space="preserve">Obiara’s promise is that the platform is safer than the street and warmer than the family WhatsApp. This playbook operationalizes it. Order of priorities in any conflict: (1) member physical safety, (2) member dignity and privacy, (3) platform integrity, (4) growth. Written the other way round, we become the apps we exist to replace.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CONDUCT POLICY AND ACTION LADDER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Tier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Examples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First action</w:t>
            </w:r>
          </w:p>
        </w:tc>
        <w:tc>
          <w:tcPr>
            <w:tcW w:type="dxa" w:w="235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Repeat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 — Account-ending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Fraud/scam operation, fake identity, minors, sexual exploitation, violence threats, married-status deception with harm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Immediate ban + device/biometric blocklist + evidence preservation (+ referral where lawful)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B — Severe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Harassment after decline, hate/tribal abuse, coercive Gate pressure, doxxing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Suspension 14–90 d + suban penalty + mandatory education gate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Ban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 — Conduct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Disrespectful language, spammy circle behavior, chronic ghost-pattern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Warning + suban effect + feature friction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Escalate to B</w:t>
            </w:r>
          </w:p>
        </w:tc>
      </w:tr>
      <w:t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 — Care (not punishment)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Distress signals, self-harm indications, victim reports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Care protocol §5, resources, human follow-up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Rehabilitation: Tier-C/B suban penalties decay after clean periods (6/18 months); education gates (short in-app modules with human sign-off for B) precede restoration. Tier-A never rehabilitates on-platform.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REPORTING, REVIEW, AND THE MPANYIMFO PANELS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Reporting: one-tap sheet on every member surface; categories mapped to tiers; reporter safety (no notification to reported party of reporter identity, ever).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Queues &amp; SLAs: Tier-A p50 &lt;2 h / p95 &lt;8 h; B &lt;24 h; C &lt;72 h; care-flag immediate routing to trained staff (24/7 rota from P1).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Evidence handling: least-exposure viewer, auto-redaction of third parties, access-audited; voice evidence transcribed for review with original retained per legal hold.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Mpanyimfo panels: 5-seat rotating councils (elder/community figures, counselor, women’s-safety specialist, legal advisor, lay member), compensated, conflict-checked; hear appeals and gray-zone B/C cases; publish anonymized reasoning quarterly. Panel constitution document (charter, oaths, recusal, term limits) ships in P1.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color w:val="3A2E1B"/>
        </w:rPr>
        <w:t xml:space="preserve">Transparency report: bi-annual — reports volume, action rates, appeal outcomes, Sentinel stats, government requests. Radical honesty here is brand strategy.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WOMEN’S SAFETY PROGRAM (STANDING DEPARTMENT)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Design authority: the women’s-safety council (internal + external advisors) holds veto over family-facing and doorway-facing features (Volume I commitment).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Product measures recap (specs in Docs 01/08): verified-only reach, seed scarcity, decline finality, honesty ribbon, meeting protocol with trusted-contact check-ins and venue verification, propagated blocks across alternate accounts, coercion-language detection.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Offline measures: fire host training module on intervention; durbar venue safety standards checklist; partnership with a Ghanaian GBV-response NGO for warm referrals.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CARE PROTOCOLS</w:t>
      </w:r>
    </w:p>
    <w:p>
      <w:pPr>
        <w:spacing w:after="160"/>
        <w:jc w:val="both"/>
      </w:pPr>
      <w:r>
        <w:rPr>
          <w:color w:val="3A2E1B"/>
        </w:rPr>
        <w:t xml:space="preserve">Self-harm/abuse-disclosure signals (member reports, okyeame escalations, Sentinel flags) route to the care queue: trained human responds with resource-first scripts (no diagnostic language), local helpline directory per market, offer of matchmaker-network counselor referral; no punitive action attaches to seeking help. Heartbreak-aware offboarding (Volume II) is owned here: closure events trigger optional support content and a 72-h notification quietening.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FRAUD OPERATIONS (WITH DOC 08 SENTINEL)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Red team: standing internal cell runs the documented sakawa/yahoo scripts against production monthly; interception ≥90% is a release gate.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Honeypot program: legally reviewed decoy doorways operated by T&amp;S to map syndicates; evidence packaged for EOCO/Police Cybercrime Unit referrals under counsel.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Victim path: members who suffered attempted fraud get a specialist flow — evidence export, reporting guidance, no shame copy; attempted-victim churn is a tracked save-metric.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COMPLIANCE PACK (GHANA LAUNCH)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Obligation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Instrument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Owner/when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Data Protection Act 2012 (Act 843) registration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DPC registration + DPO appointment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Pre-P0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DPIA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Full assessment; refresh per new AI purpose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Pre-P0; living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Consent architecture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Consent map (Doc 08 §8) + records of processing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Pre-P0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E2E + safety processing design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Encrypted room content; scam-arc processing on consent-mapped signals; keys HSM-held; access break-glass audited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Architecture review pre-P1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Cybersecurity Act 2020 alignment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CERT-GH liaison, incident reporting runbook (72 h clock)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Payments compliance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Operate via licensed PSP/aggregator (no own float in v1); AML/KYC riding on MoMo KYC + our ID layer; suspicious-transaction referral runbook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Pre-monetization (P1)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Electronic Communications/consumer rules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Pricing transparency, cancellation rights, receipts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Age assurance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ID-derived DOB (FR-104) + audit trail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Pre-P0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Cross-border (diaspora)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UK/EU users: GDPR alignment (SCCs for any transfer, EU/UK rights honored globally as our single standard)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Nigeria pack (P3)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NDPA 2023 registration, NIN integration ToS, local counsel opinion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Pre-Lagos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Records retention table (binding): ID artifacts — verification proof minimal set for account life + 90 d; liveness raw media 30 d; room voice 180 d post-closure (owner export anytime); Gate reviewer packs 30 d; T&amp;S evidence: case life + 2 y or legal hold; financial ledgers 6 y; analytics pseudonymized at 90 d, aggregated at 13 months.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Moderation workforce welfare: exposure limits, counseling access, rotation — contractual terms for any BPO/annotation partner.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2026-07-17T00:20:59.493Z</dcterms:created>
  <dcterms:modified xsi:type="dcterms:W3CDTF">2026-07-17T00:20:59.493Z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