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  <w:jc w:val="center"/>
      </w:pPr>
      <w:r>
        <w:rPr>
          <w:b/>
          <w:bCs/>
          <w:color w:val="211509"/>
          <w:spacing w:val="60"/>
          <w:sz w:val="100"/>
          <w:szCs w:val="100"/>
        </w:rPr>
        <w:t xml:space="preserve">OBIARA</w:t>
      </w:r>
    </w:p>
    <w:p>
      <w:pPr>
        <w:spacing w:after="60" w:before="120"/>
        <w:jc w:val="center"/>
      </w:pPr>
      <w:r>
        <w:rPr>
          <w:color w:val="B94A2B"/>
          <w:sz w:val="34"/>
          <w:szCs w:val="34"/>
        </w:rPr>
        <w:t xml:space="preserve">Launch Operations Plan</w:t>
      </w:r>
    </w:p>
    <w:p>
      <w:pPr>
        <w:spacing w:after="1500" w:before="40"/>
        <w:jc w:val="center"/>
      </w:pPr>
      <w:r>
        <w:rPr>
          <w:color w:val="7A6547"/>
          <w:sz w:val="22"/>
          <w:szCs w:val="22"/>
        </w:rPr>
        <w:t xml:space="preserve">Document 11 · The Human Machinery</w:t>
      </w:r>
    </w:p>
    <w:p>
      <w:pPr>
        <w:spacing w:after="40" w:before="1200"/>
        <w:jc w:val="center"/>
      </w:pPr>
      <w:r>
        <w:rPr>
          <w:color w:val="211509"/>
          <w:sz w:val="22"/>
          <w:szCs w:val="22"/>
        </w:rPr>
        <w:t xml:space="preserve">XCreativs Technologies Ltd · Accra, Ghana</w:t>
      </w:r>
    </w:p>
    <w:p>
      <w:pPr>
        <w:jc w:val="center"/>
      </w:pPr>
      <w:r>
        <w:rPr>
          <w:color w:val="7A6547"/>
          <w:sz w:val="20"/>
          <w:szCs w:val="20"/>
        </w:rPr>
        <w:t xml:space="preserve">July 2026 · Confidential · The Obiara Build Pack</w:t>
      </w:r>
    </w:p>
    <w:p>
      <w:r>
        <w:br w:type="page"/>
      </w:r>
    </w:p>
    <w:p>
      <w:pPr>
        <w:pStyle w:val="Heading1"/>
        <w:spacing w:after="200"/>
      </w:pPr>
      <w:r>
        <w:rPr>
          <w:color w:val="211509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60" w:before="0"/>
      </w:pPr>
      <w:r>
        <w:rPr>
          <w:color w:val="211509"/>
        </w:rPr>
        <w:t xml:space="preserve">1. THE HUMAN MACHINERY</w:t>
      </w:r>
    </w:p>
    <w:p>
      <w:pPr>
        <w:spacing w:after="160"/>
        <w:jc w:val="both"/>
      </w:pPr>
      <w:r>
        <w:rPr>
          <w:color w:val="3A2E1B"/>
        </w:rPr>
        <w:t xml:space="preserve">Volumes I–II are honest that half of Obiara is not software: hosts, matchmakers, First Families, ambassadors, panels. This plan builds that machinery on the same timeline as the code, because a perfect app arriving to empty fires is a failed launch.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2. FIRST HUNDRED FAMILIES PROGRAM (WEEKS 0–12)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Target roster: 100 anchor figures across Greater Accra — congregation leaders (multi-denomination + mosques), JCR/SRC and alumni executives (Legon, UPSA, GIMPA, Ashesi, UCC/KNUST chapters in Accra), hometown-association officers, professional-body organizers, respected market and creative-community figures.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Offer: founding circle-host status, direct product voice (monthly founders’ council), early matchmaker licensing where suited, modest honoraria for launch-phase hosting, and their names — with consent — in the platform’s founding acknowledgments. The ask: bring their circle, host or bless a fire, and hold us to the Auntie Test.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Owner: Community Director (hire #1 of ops). KPI: 100 signed, ≥60 verified circles live, ≥3,000 waitlist from their networks pre-P0-close.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3. FIRE HOST PROGRAM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Recruit: 30 hosts for P0/P1 (campus personalities, church youth leaders, MCs, radio-adjacent voices); selection on warmth + control + suban, not follower counts.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Train (the Host School, 2-day + shadowing): runsheet craft, energy management, inclusion (drawing out the quiet), safety intervention module (Doc 09), embers etiquette, tech drill. Certification badge; recertification quarterly.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Economics: revenue share per Doc 03; league/durbar bonuses; host ladder (apprentice → host → senior → durbar host) with rate steps. KPI: fire NPS ≥60, incident-free rate, ember conversion.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4. MATCHMAKER LICENSING (THE AGYINA PROGRAM)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Cohort 1: 20 licensees — mix of natural community matchmakers (the real aunties), counselors, and event-world professionals; 40% minimum women in every cohort by policy.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Licensing: application + references + suban review + the Agyina School (curriculum: ethics &amp; consent, coercion red flags, platform tools, family-liaison craft, fee transparency, Doc 09 obligations) + supervised first five engagements.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Quality regime: post-engagement (not post-payment) ratings, mystery-shop audits, annual relicense; two upheld coercion/ethics findings = license end.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5. CAMPUS AMBASSADOR STRUCTURE (P1+)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Per campus: 1 lead + 4 hall ambassadors; deliverables: fresher-circle onboarding, weekly hall fire co-hosting, league season ops; compensation: stipend + host revenue share + verified-signup bonuses (quality-gated: bonus pays on D30-retained verified members, killing junk-signup incentives).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Season calendar anchor: launch aligned to the academic year — fresher week activation, mid-semester league, Val’s season flagship, graduation cloth ceremonies.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6. VERIFICATION &amp; SUPPORT OPS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Verification desk: staffed fallback review (Doc 01 M1) sized to &lt;10-minute p90 queue at launch peaks; fraud-document training with ID-partner escalation 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Member care: in-app + WhatsApp support lines, Twi/EN/Pidgin, 08:00–22:00 launch coverage → 24/7 by P2; care-queue specialists per Doc 09 §5.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T&amp;S staffing curve: 2 agents at P0 (with founder-on-call), 6 by P1, 14 + panel ops by P2; women’s-safety specialist seat from P1.</w:t>
      </w:r>
    </w:p>
    <w:p>
      <w:pPr>
        <w:pStyle w:val="Heading1"/>
        <w:pageBreakBefore/>
        <w:spacing w:after="260" w:before="0"/>
      </w:pPr>
      <w:r>
        <w:rPr>
          <w:color w:val="211509"/>
        </w:rPr>
        <w:t xml:space="preserve">7. LAUNCH CALENDAR (OPERATING VIEW)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3"/>
        <w:gridCol w:w="3133"/>
        <w:gridCol w:w="3133"/>
      </w:tblGrid>
      <w:tr>
        <w:trPr>
          <w:tblHeader/>
        </w:trPr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Window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Ops milestone</w:t>
            </w:r>
          </w:p>
        </w:tc>
        <w:tc>
          <w:tcPr>
            <w:tcW w:type="dxa" w:w="3133"/>
            <w:shd w:fill="F5E9D4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211509"/>
                <w:sz w:val="19"/>
                <w:szCs w:val="19"/>
              </w:rPr>
              <w:t xml:space="preserve">Marketing beat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Weeks 0–6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First Families signing; Host School #1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Quiet-prestige phase: no public noise, invitation mystique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Weeks 7–13 (P0)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2 campus + 1 professional cohort live; weekly fires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Word-of-mouth only; waitlist with circle-unlock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Weeks 14–24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District density #1–2; Agyina cohort 1; monetization wave 1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"Meet properly" city campaign v1 (radio + trotro + campus)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Weeks 25–36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District #3; first flagship durbar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Durbar as press moment; testimony content engine starts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Weeks 37–52 (P2)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Accra GA; Gate + registry live; first weddings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Graduation stories; family-NPS proof points</w:t>
            </w:r>
          </w:p>
        </w:tc>
      </w:tr>
      <w:tr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Months 13–18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Kumasi/Takoradi; transparency report #1</w:t>
            </w:r>
          </w:p>
        </w:tc>
        <w:tc>
          <w:tcPr>
            <w:tcW w:type="dxa" w:w="3133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3A2E1B"/>
                <w:sz w:val="19"/>
                <w:szCs w:val="19"/>
              </w:rPr>
              <w:t xml:space="preserve">National campaign; diaspora corridor push (UK/US)</w:t>
            </w:r>
          </w:p>
        </w:tc>
      </w:tr>
    </w:tbl>
    <w:p>
      <w:pPr>
        <w:pStyle w:val="Heading1"/>
        <w:pageBreakBefore/>
        <w:spacing w:after="260" w:before="0"/>
      </w:pPr>
      <w:r>
        <w:rPr>
          <w:color w:val="211509"/>
        </w:rPr>
        <w:t xml:space="preserve">8. LAUNCH RISK REGISTER (OPS-SPECIFIC)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Empty-fire risk → density gates before GA; host over-recruiting 1.5×; fallback programmed fires run by staff.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Anchor-figure controversy → vetting + morals clauses + quiet-exit protocol.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Campus policy friction → MoU template with student-affairs offices; 18+ gate messaging discipline.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Verification queue meltdown on press spikes → waitlist throttle valve owned by ops, not marketing.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3A2E1B"/>
        </w:rPr>
        <w:t xml:space="preserve">Stigma flare ("dating app" framing in media) → spokesperson-trained founders; "proper introduction" narrative pack; family testimonials bank ready before GA.</w:t>
      </w:r>
    </w:p>
    <w:sectPr>
      <w:pgSz w:w="11906" w:h="16838" w:orient="portrait"/>
      <w:pgMar w:top="1300" w:right="1400" w:bottom="13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B94A2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Georgia" w:cs="Georgia" w:eastAsia="Georgia" w:hAnsi="Georgia"/>
      <w:b/>
      <w:bCs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Georgia" w:cs="Georgia" w:eastAsia="Georgia" w:hAnsi="Georgia"/>
      <w:b/>
      <w:bCs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Georgia" w:cs="Georgia" w:eastAsia="Georgia" w:hAnsi="Georgia"/>
      <w:b/>
      <w:bCs/>
      <w:i/>
      <w:iCs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2026-07-17T00:20:59.826Z</dcterms:created>
  <dcterms:modified xsi:type="dcterms:W3CDTF">2026-07-17T00:20:59.826Z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