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CampusClaw 第六课项目验证报告</w:t>
      </w:r>
    </w:p>
    <w:p>
      <w:r>
        <w:t>仓库地址：https://github.com/stanleyIl/forth-lesson</w:t>
      </w:r>
    </w:p>
    <w:p>
      <w:pPr>
        <w:ind w:firstLine="476"/>
      </w:pPr>
      <w:r>
        <w:t>CampusClaw 是一个面向班级教学的 AI 应用平台。教师可以上传课程材料，学生登录后可以检索本班知识库。平台内置知识助手和公式辅导，支持提示词模板、内置与上传的 Skill，以及 MCP 工具接入。</w:t>
      </w:r>
    </w:p>
    <w:p>
      <w:pPr>
        <w:ind w:firstLine="476"/>
      </w:pPr>
      <w:r>
        <w:t>本次使用 glm-5.3-flash 完成验证，接口为 https://llm.goaichat.top/v1。知识助手使用关键词检索，公式辅导通过工具完成计算。报告同时保留网页操作结果和后端实际请求记录。</w:t>
      </w:r>
    </w:p>
    <w:p>
      <w:pPr>
        <w:ind w:firstLine="476"/>
      </w:pPr>
      <w:r>
        <w:t>后端截图通过浏览器打开 HTTP 采集日志获得。日志展开了实际发送的参数、消息和服务返回值，Authorization 密钥不写入采集记录。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p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教师登录后的多个 AI 应用</w:t>
      </w:r>
    </w:p>
    <w:p>
      <w:pPr>
        <w:pStyle w:val="Heading1"/>
        <w:pageBreakBefore/>
      </w:pPr>
      <w:r>
        <w:t>一、提示词模板与技能上传</w:t>
      </w:r>
    </w:p>
    <w:p>
      <w:pPr>
        <w:ind w:firstLine="476"/>
      </w:pPr>
      <w:r>
        <w:t>教师可以在网页中预览模板变量的替换结果，也可以上传 SKILL.md。本次上传“证据摘要”1.0.1 版本，页面提示上传成功，并在注册表中标为 uploaded。随后将它绑定到知识助手。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000" cy="30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mpla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提示词模板预览与平台管理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000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kill-uploa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上传技能后的注册表</w:t>
      </w:r>
    </w:p>
    <w:p>
      <w:pPr>
        <w:pStyle w:val="Heading1"/>
        <w:pageBreakBefore/>
      </w:pPr>
      <w:r>
        <w:t>二、知识库问答与内容溯源</w:t>
      </w:r>
    </w:p>
    <w:p>
      <w:pPr>
        <w:ind w:firstLine="476"/>
      </w:pPr>
      <w:r>
        <w:t>在知识助手中输入“磁铁”，系统选中 1 个本班切片，返回了磁铁性质的回答。网页保留材料名称、切片编号、偏移和原文，可核对回答的依据。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000" cy="30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nowled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知识库回答及来源引用</w:t>
      </w:r>
    </w:p>
    <w:p>
      <w:pPr>
        <w:ind w:firstLine="476"/>
      </w:pPr>
      <w:r>
        <w:t>后端请求的 system 消息包含模板正文、这一条材料片段，以及两个已绑定技能的指令。请求没有加入其他班级材料或整个知识库。上传技能的指令正文已传入，文件的元数据和存储路径没有传入。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backend-knowledge-lo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实际发送的模板 知识片段和 Skill 指令</w:t>
      </w:r>
    </w:p>
    <w:p>
      <w:pPr>
        <w:pStyle w:val="Heading1"/>
        <w:pageBreakBefore/>
      </w:pPr>
      <w:r>
        <w:t>三、具体 Skill 的执行过程</w:t>
      </w:r>
    </w:p>
    <w:p>
      <w:pPr>
        <w:ind w:firstLine="476"/>
      </w:pPr>
      <w:r>
        <w:t>在公式辅导中调用要点提取技能，传入关于材料上传、班级检索和来源标注的三句话。网页显示 extracted 3 key points，并展示了三个返回要点。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000" cy="30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kill-answ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要点提取技能的网页执行结果</w:t>
      </w:r>
    </w:p>
    <w:p>
      <w:pPr>
        <w:ind w:firstLine="476"/>
      </w:pPr>
      <w:r>
        <w:t>后端记录中，模型先返回 skill__extract_key_points 和 text 参数。服务端检查绑定关系并校验参数，执行固定动作，再将三个要点作为 role=tool 的消息交回模型。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2574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backend-skill-log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5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Skill 调用参数与工具结果回传</w:t>
      </w:r>
    </w:p>
    <w:p>
      <w:pPr>
        <w:pStyle w:val="Heading1"/>
        <w:pageBreakBefore/>
      </w:pPr>
      <w:r>
        <w:t>四、MCP 工具调用与响应</w:t>
      </w:r>
    </w:p>
    <w:p>
      <w:pPr>
        <w:ind w:firstLine="476"/>
      </w:pPr>
      <w:r>
        <w:t>公式辅导已绑定 calculate 和 lookup_class_schedule。输入“请调用 calculate 计算工具计算 37 × 23”，模型选择计算工具，页面最终显示结果 851。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000" cy="30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cp-answ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真实模型调用 MCP 后的网页回答</w:t>
      </w:r>
    </w:p>
    <w:p>
      <w:pPr>
        <w:ind w:firstLine="476"/>
      </w:pPr>
      <w:r>
        <w:t>下面的后端响应状态为 200，模型标识为 glm-5.3-flash，finish_reason 为 tool_calls。返回参数为 operation=multiply、a=37、b=23。响应头也保留在同一条记录中。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000" cy="30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backend-mcp-call-log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 模型响应头与工具调用参数</w:t>
      </w:r>
    </w:p>
    <w:p>
      <w:pPr>
        <w:pStyle w:val="Heading1"/>
        <w:pageBreakBefore/>
      </w:pPr>
      <w:r>
        <w:t>五、发送给模型的工具定义</w:t>
      </w:r>
    </w:p>
    <w:p>
      <w:pPr>
        <w:ind w:firstLine="476"/>
      </w:pPr>
      <w:r>
        <w:t>首次请求包含 model、messages、max_tokens=3000、stream=false 和 tool_choice=auto。messages 包含渲染后的 system 提示词及用户问题。tools 只列出当前应用绑定的技能和 MCP 工具。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000" cy="30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backend-mcp-reques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首次模型请求和工具列表</w:t>
      </w:r>
    </w:p>
    <w:p>
      <w:pPr>
        <w:ind w:firstLine="476"/>
      </w:pPr>
      <w:r>
        <w:t>每个工具都提供名称、说明和参数结构。计算工具要求 operation、a 和 b，其中 operation 限制为加减乘除或乘方，数值参数也有范围限制。服务端使用同一结构检查模型填入的参数。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89473" cy="305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backend-tool-schem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947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实际传入的计算工具参数结构</w:t>
      </w:r>
    </w:p>
    <w:p>
      <w:pPr>
        <w:pStyle w:val="Heading1"/>
        <w:pageBreakBefore/>
      </w:pPr>
      <w:r>
        <w:t>六、工具结果如何形成最终回答</w:t>
      </w:r>
    </w:p>
    <w:p>
      <w:pPr>
        <w:ind w:firstLine="476"/>
      </w:pPr>
      <w:r>
        <w:t>MCP 服务执行计算后返回 851。服务端再次请求模型，消息中保留 assistant 的工具调用，并加入 tool 消息。tool_call_id 将计算结果与前面的调用对应起来。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57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ackend-tool-retur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回传模型的计算结果和消息角色</w:t>
      </w:r>
    </w:p>
    <w:p>
      <w:pPr>
        <w:ind w:firstLine="476"/>
      </w:pPr>
      <w:r>
        <w:t>第二次模型响应的 finish_reason 为 stop，回答“根据计算工具结果，37 × 23 = 851”。响应中的 total_tokens 为 933；这只是第二次请求的用量，不是整段会话的总用量。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4042" cy="30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ackend-final-respons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042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工具执行后的最终模型响应</w:t>
      </w:r>
    </w:p>
    <w:p>
      <w:pPr>
        <w:pStyle w:val="Heading1"/>
        <w:pageBreakBefore/>
      </w:pPr>
      <w:r>
        <w:t>七、Token 认证与权限检查</w:t>
      </w:r>
    </w:p>
    <w:p>
      <w:pPr>
        <w:ind w:firstLine="476"/>
      </w:pPr>
      <w:r>
        <w:t>不提供登录凭据访问 /api/me，后端返回 401。携带登录取得的 Bearer Token 后返回 200，并给出用户标识、角色和班级。后续请求由服务端解析 Token 来识别用户，不能通过前端传入的 class_id 改变访问范围。</w:t>
      </w:r>
    </w:p>
    <w:p>
      <w:pPr>
        <w:ind w:firstLine="476"/>
      </w:pPr>
      <w:r>
        <w:t>A 班教师访问 B 班材料文件时返回 404。学生尝试上传 Skill 时返回 403。下面是这些接口实际返回的结果，Token 在展示时已隐藏。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492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backend-auth-check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 后端认证 班级隔离和学生权限验证</w:t>
      </w:r>
    </w:p>
    <w:p>
      <w:pPr>
        <w:ind w:firstLine="476"/>
      </w:pPr>
      <w:r>
        <w:t>本次还运行了 npm test、npm run build 和 npx openspec validate --specs。结果为 100 项测试通过，TypeScript 构建通过，14 项 spec 校验通过。</w:t>
      </w:r>
    </w:p>
    <w:p>
      <w:pPr>
        <w:pStyle w:val="Heading1"/>
        <w:pageBreakBefore/>
      </w:pPr>
      <w:r>
        <w:t>八、五个验证问题的回答</w:t>
      </w:r>
    </w:p>
    <w:p>
      <w:pPr>
        <w:pStyle w:val="Heading2"/>
      </w:pPr>
      <w:r>
        <w:t>对话参数和提示词模板</w:t>
      </w:r>
    </w:p>
    <w:p>
      <w:pPr>
        <w:ind w:firstLine="476"/>
      </w:pPr>
      <w:r>
        <w:t>模型请求带有 model、messages、max_tokens 和 stream；有工具的应用还带有 tools 与 tool_choice。提示词模板渲染后作为 system 消息一起传递。模型返回工具调用指令或最终文本。图 5、图 9 至图 13 展示了具体内容。</w:t>
      </w:r>
    </w:p>
    <w:p>
      <w:pPr>
        <w:pStyle w:val="Heading2"/>
      </w:pPr>
      <w:r>
        <w:t>知识库是否全部传入</w:t>
      </w:r>
    </w:p>
    <w:p>
      <w:pPr>
        <w:ind w:firstLine="476"/>
      </w:pPr>
      <w:r>
        <w:t>不会。知识助手先检索登录用户所在班级的材料，只把选中的知识片段加入提示词。本次选中 1 个切片，来源是 A班-小学科学课程资料.md。图 4 和图 5 可以相互核对。</w:t>
      </w:r>
    </w:p>
    <w:p>
      <w:pPr>
        <w:pStyle w:val="Heading2"/>
      </w:pPr>
      <w:r>
        <w:t>Skill 是否全部传入</w:t>
      </w:r>
    </w:p>
    <w:p>
      <w:pPr>
        <w:ind w:firstLine="476"/>
      </w:pPr>
      <w:r>
        <w:t>需要区分类型。instruction 类型会把已绑定版本的指令正文传入，但不传整个文件的元数据。server_action 类型给模型的是动作名称、说明和参数结构，具体实现留在后端。图 5 显示了上传技能正文，图 10 显示了动作定义。</w:t>
      </w:r>
    </w:p>
    <w:p>
      <w:pPr>
        <w:pStyle w:val="Heading2"/>
      </w:pPr>
      <w:r>
        <w:t>Skill 如何执行</w:t>
      </w:r>
    </w:p>
    <w:p>
      <w:pPr>
        <w:ind w:firstLine="476"/>
      </w:pPr>
      <w:r>
        <w:t>模型提出动作调用后，服务端校验应用绑定关系和参数，再执行已注册的动作。结果作为 tool 消息参与后续请求。要点提取动作按句子拆分输入并取限定数量的要点，上传文件不能任意执行代码。图 6 和图 7 展示了这一过程。</w:t>
      </w:r>
    </w:p>
    <w:p>
      <w:pPr>
        <w:pStyle w:val="Heading2"/>
      </w:pPr>
      <w:r>
        <w:t>MCP 接入后传递什么</w:t>
      </w:r>
    </w:p>
    <w:p>
      <w:pPr>
        <w:ind w:firstLine="476"/>
      </w:pPr>
      <w:r>
        <w:t>模型收到已绑定工具的名称、说明和参数结构，不直接连接 MCP 服务。模型返回工具名和 JSON 参数，由服务端执行 tools/call，再将结果作为 tool 消息交回模型。图 8 至图 13 对应本次完整调用过程。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widowControl w:val="0"/>
      <w:spacing w:after="160" w:line="360" w:lineRule="exact"/>
      <w:snapToGrid w:val="0"/>
    </w:pPr>
    <w:rPr>
      <w:rFonts w:ascii="Songti SC" w:hAnsi="Songti SC" w:eastAsia="Songti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pageBreakBefore w:val="0"/>
      <w:widowControl w:val="0"/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pageBreakBefore w:val="0"/>
      <w:widowControl w:val="0"/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 w:val="0"/>
      <w:pageBreakBefore w:val="0"/>
      <w:widowControl w:val="0"/>
      <w:spacing w:before="480" w:after="160" w:line="460" w:lineRule="exact"/>
      <w:outlineLvl w:val="0"/>
      <w:snapToGrid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 w:val="0"/>
      <w:pageBreakBefore w:val="0"/>
      <w:widowControl w:val="0"/>
      <w:spacing w:before="200" w:after="160" w:line="460" w:lineRule="exact"/>
      <w:outlineLvl w:val="1"/>
      <w:snapToGrid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 w:val="0"/>
      <w:pageBreakBefore w:val="0"/>
      <w:widowControl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 w:val="0"/>
      <w:pageBreakBefore w:val="0"/>
      <w:widowControl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0"/>
      <w:keepLines w:val="0"/>
      <w:pageBreakBefore w:val="0"/>
      <w:widowControl w:val="0"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0"/>
      <w:keepLines w:val="0"/>
      <w:pageBreakBefore w:val="0"/>
      <w:widowControl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0"/>
      <w:keepLines w:val="0"/>
      <w:pageBreakBefore w:val="0"/>
      <w:widowControl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0"/>
      <w:keepLines w:val="0"/>
      <w:pageBreakBefore w:val="0"/>
      <w:widowControl w:val="0"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0"/>
      <w:keepLines w:val="0"/>
      <w:pageBreakBefore w:val="0"/>
      <w:widowControl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keepNext w:val="0"/>
      <w:keepLines w:val="0"/>
      <w:pageBreakBefore w:val="0"/>
      <w:widowControl w:val="0"/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 w:val="0"/>
      <w:pageBreakBefore w:val="0"/>
      <w:widowControl w:val="0"/>
      <w:spacing w:after="160" w:line="460" w:lineRule="exact"/>
      <w:contextualSpacing/>
      <w:snapToGrid w:val="0"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keepLines w:val="0"/>
      <w:pageBreakBefore w:val="0"/>
      <w:widowControl w:val="0"/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keepLines w:val="0"/>
      <w:pageBreakBefore w:val="0"/>
      <w:widowControl w:val="0"/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keepLines w:val="0"/>
      <w:pageBreakBefore w:val="0"/>
      <w:widowControl w:val="0"/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keepNext w:val="0"/>
      <w:keepLines w:val="0"/>
      <w:pageBreakBefore w:val="0"/>
      <w:widowControl w:val="0"/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keepNext w:val="0"/>
      <w:keepLines w:val="0"/>
      <w:pageBreakBefore w:val="0"/>
      <w:widowControl w:val="0"/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keepNext w:val="0"/>
      <w:keepLines w:val="0"/>
      <w:pageBreakBefore w:val="0"/>
      <w:widowControl w:val="0"/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keepNext w:val="0"/>
      <w:keepLines w:val="0"/>
      <w:pageBreakBefore w:val="0"/>
      <w:widowControl w:val="0"/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keepNext w:val="0"/>
      <w:keepLines w:val="0"/>
      <w:pageBreakBefore w:val="0"/>
      <w:widowControl w:val="0"/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 w:val="0"/>
      <w:pageBreakBefore w:val="0"/>
      <w:widowControl w:val="0"/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keepLines w:val="0"/>
      <w:pageBreakBefore w:val="0"/>
      <w:widowControl w:val="0"/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keepNext w:val="0"/>
      <w:keepLines w:val="0"/>
      <w:pageBreakBefore w:val="0"/>
      <w:widowControl w:val="0"/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keepNext w:val="0"/>
      <w:keepLines w:val="0"/>
      <w:pageBreakBefore w:val="0"/>
      <w:widowControl w:val="0"/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keepNext w:val="0"/>
      <w:keepLines w:val="0"/>
      <w:pageBreakBefore w:val="0"/>
      <w:widowControl w:val="0"/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keepNext w:val="0"/>
      <w:keepLines w:val="0"/>
      <w:pageBreakBefore w:val="0"/>
      <w:widowControl w:val="0"/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keepNext w:val="0"/>
      <w:keepLines w:val="0"/>
      <w:pageBreakBefore w:val="0"/>
      <w:widowControl w:val="0"/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keepNext w:val="0"/>
      <w:keepLines w:val="0"/>
      <w:pageBreakBefore w:val="0"/>
      <w:widowControl w:val="0"/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keepNext w:val="0"/>
      <w:keepLines w:val="0"/>
      <w:pageBreakBefore w:val="0"/>
      <w:widowControl w:val="0"/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keepNext w:val="0"/>
      <w:keepLines w:val="0"/>
      <w:pageBreakBefore w:val="0"/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keepLines w:val="0"/>
      <w:pageBreakBefore w:val="0"/>
      <w:widowControl w:val="0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 w:val="0"/>
      <w:pageBreakBefore w:val="0"/>
      <w:widowControl w:val="0"/>
      <w:spacing w:line="280" w:lineRule="exact" w:after="160"/>
      <w:snapToGrid w:val="0"/>
    </w:pPr>
    <w:rPr>
      <w:rFonts w:ascii="Songti SC" w:hAnsi="Songti SC" w:eastAsia="Songti SC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keepNext w:val="0"/>
      <w:keepLines w:val="0"/>
      <w:pageBreakBefore w:val="0"/>
      <w:widowControl w:val="0"/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0"/>
      <w:keepLines w:val="0"/>
      <w:pageBreakBefore w:val="0"/>
      <w:widowControl w:val="0"/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CampusClaw 第六课项目验证报告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