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88184" w14:textId="3AFEE742" w:rsidR="004D0127" w:rsidRDefault="00520226">
      <w:pPr>
        <w:rPr>
          <w:u w:val="single"/>
        </w:rPr>
      </w:pPr>
      <w:r w:rsidRPr="00520226">
        <w:rPr>
          <w:u w:val="single"/>
        </w:rPr>
        <w:t>March 1</w:t>
      </w:r>
      <w:r w:rsidRPr="00520226">
        <w:rPr>
          <w:u w:val="single"/>
          <w:vertAlign w:val="superscript"/>
        </w:rPr>
        <w:t>st</w:t>
      </w:r>
      <w:proofErr w:type="gramStart"/>
      <w:r w:rsidRPr="00520226">
        <w:rPr>
          <w:u w:val="single"/>
        </w:rPr>
        <w:t xml:space="preserve"> 2025</w:t>
      </w:r>
      <w:proofErr w:type="gramEnd"/>
    </w:p>
    <w:p w14:paraId="76632ADD" w14:textId="64362541" w:rsidR="00520226" w:rsidRDefault="00520226">
      <w:r>
        <w:t>You receive the following e-mail from the Head of Performance at Manchester General Ward (MGW):</w:t>
      </w:r>
    </w:p>
    <w:p w14:paraId="52A2B39F" w14:textId="55E79F80" w:rsidR="00520226" w:rsidRPr="00ED7CC0" w:rsidRDefault="00520226">
      <w:pPr>
        <w:rPr>
          <w:i/>
          <w:iCs/>
        </w:rPr>
      </w:pPr>
      <w:r w:rsidRPr="00ED7CC0">
        <w:rPr>
          <w:i/>
          <w:iCs/>
        </w:rPr>
        <w:t>Hi,</w:t>
      </w:r>
    </w:p>
    <w:p w14:paraId="3919567A" w14:textId="7C712D7C" w:rsidR="00520226" w:rsidRPr="00ED7CC0" w:rsidRDefault="00520226">
      <w:pPr>
        <w:rPr>
          <w:i/>
          <w:iCs/>
        </w:rPr>
      </w:pPr>
      <w:r w:rsidRPr="00ED7CC0">
        <w:rPr>
          <w:i/>
          <w:iCs/>
        </w:rPr>
        <w:t>Since 1</w:t>
      </w:r>
      <w:r w:rsidRPr="00ED7CC0">
        <w:rPr>
          <w:i/>
          <w:iCs/>
          <w:vertAlign w:val="superscript"/>
        </w:rPr>
        <w:t>st</w:t>
      </w:r>
      <w:r w:rsidRPr="00ED7CC0">
        <w:rPr>
          <w:i/>
          <w:iCs/>
        </w:rPr>
        <w:t xml:space="preserve"> January 2025 we have implemented a new community discharge portal to speed up patient discharges where ongoing social care is required. By being able to anticipate the date of discharge it allows those working in social care to free up accommodation, discharge assistance and other resources to discharge patients as quickly as possible where their services are required</w:t>
      </w:r>
      <w:r w:rsidR="005E630F" w:rsidRPr="00ED7CC0">
        <w:rPr>
          <w:i/>
          <w:iCs/>
        </w:rPr>
        <w:t>.</w:t>
      </w:r>
    </w:p>
    <w:p w14:paraId="7F0DB319" w14:textId="6107F6C2" w:rsidR="005E630F" w:rsidRPr="00ED7CC0" w:rsidRDefault="005E630F">
      <w:pPr>
        <w:rPr>
          <w:i/>
          <w:iCs/>
        </w:rPr>
      </w:pPr>
      <w:r w:rsidRPr="00ED7CC0">
        <w:rPr>
          <w:i/>
          <w:iCs/>
        </w:rPr>
        <w:t>I have pulled some data out of the system that I think shows a reduction in the average length of stay since January. Are you able to confirm the magnitude of the reduction so that we can roll the initiative out more widely?</w:t>
      </w:r>
      <w:r w:rsidR="00ED7CC0" w:rsidRPr="00ED7CC0">
        <w:rPr>
          <w:i/>
          <w:iCs/>
        </w:rPr>
        <w:t xml:space="preserve"> By looking at the admissions for the last six months there seems to be a noticeable drop</w:t>
      </w:r>
      <w:r w:rsidR="00ED7CC0">
        <w:rPr>
          <w:i/>
          <w:iCs/>
        </w:rPr>
        <w:t xml:space="preserve"> – maybe 20%? The annual wave of Norovirus cases may have impacted this though.</w:t>
      </w:r>
    </w:p>
    <w:p w14:paraId="12706D12" w14:textId="4B4088EA" w:rsidR="005E630F" w:rsidRPr="00ED7CC0" w:rsidRDefault="005E630F">
      <w:pPr>
        <w:rPr>
          <w:i/>
          <w:iCs/>
        </w:rPr>
      </w:pPr>
      <w:r w:rsidRPr="00ED7CC0">
        <w:rPr>
          <w:i/>
          <w:iCs/>
        </w:rPr>
        <w:t xml:space="preserve">There are 5 types of admission into the ward: </w:t>
      </w:r>
    </w:p>
    <w:tbl>
      <w:tblPr>
        <w:tblStyle w:val="TableGrid"/>
        <w:tblW w:w="9558" w:type="dxa"/>
        <w:tblLook w:val="04A0" w:firstRow="1" w:lastRow="0" w:firstColumn="1" w:lastColumn="0" w:noHBand="0" w:noVBand="1"/>
      </w:tblPr>
      <w:tblGrid>
        <w:gridCol w:w="4779"/>
        <w:gridCol w:w="4779"/>
      </w:tblGrid>
      <w:tr w:rsidR="005E630F" w:rsidRPr="00ED7CC0" w14:paraId="725D5A3F" w14:textId="77777777" w:rsidTr="005E630F">
        <w:trPr>
          <w:trHeight w:val="644"/>
        </w:trPr>
        <w:tc>
          <w:tcPr>
            <w:tcW w:w="4779" w:type="dxa"/>
          </w:tcPr>
          <w:p w14:paraId="67529810" w14:textId="0A640AA4" w:rsidR="005E630F" w:rsidRPr="00ED7CC0" w:rsidRDefault="005E630F">
            <w:pPr>
              <w:rPr>
                <w:i/>
                <w:iCs/>
              </w:rPr>
            </w:pPr>
            <w:r w:rsidRPr="00ED7CC0">
              <w:rPr>
                <w:i/>
                <w:iCs/>
              </w:rPr>
              <w:t>Admission Type</w:t>
            </w:r>
          </w:p>
        </w:tc>
        <w:tc>
          <w:tcPr>
            <w:tcW w:w="4779" w:type="dxa"/>
          </w:tcPr>
          <w:p w14:paraId="66A08270" w14:textId="37B01FAD" w:rsidR="005E630F" w:rsidRPr="00ED7CC0" w:rsidRDefault="005E630F">
            <w:pPr>
              <w:rPr>
                <w:i/>
                <w:iCs/>
              </w:rPr>
            </w:pPr>
            <w:r w:rsidRPr="00ED7CC0">
              <w:rPr>
                <w:i/>
                <w:iCs/>
              </w:rPr>
              <w:t>Description</w:t>
            </w:r>
          </w:p>
        </w:tc>
      </w:tr>
      <w:tr w:rsidR="005E630F" w:rsidRPr="00ED7CC0" w14:paraId="0C2594CD" w14:textId="77777777" w:rsidTr="005E630F">
        <w:trPr>
          <w:trHeight w:val="1897"/>
        </w:trPr>
        <w:tc>
          <w:tcPr>
            <w:tcW w:w="4779" w:type="dxa"/>
          </w:tcPr>
          <w:p w14:paraId="025C2710" w14:textId="1E6E102F" w:rsidR="005E630F" w:rsidRPr="00ED7CC0" w:rsidRDefault="005E630F">
            <w:pPr>
              <w:rPr>
                <w:i/>
                <w:iCs/>
              </w:rPr>
            </w:pPr>
            <w:r w:rsidRPr="00ED7CC0">
              <w:rPr>
                <w:i/>
                <w:iCs/>
              </w:rPr>
              <w:t>Chronic Conditions</w:t>
            </w:r>
          </w:p>
        </w:tc>
        <w:tc>
          <w:tcPr>
            <w:tcW w:w="4779" w:type="dxa"/>
          </w:tcPr>
          <w:p w14:paraId="2453542D" w14:textId="52E06480" w:rsidR="005E630F" w:rsidRPr="00ED7CC0" w:rsidRDefault="005E630F">
            <w:pPr>
              <w:rPr>
                <w:i/>
                <w:iCs/>
              </w:rPr>
            </w:pPr>
            <w:r w:rsidRPr="00ED7CC0">
              <w:rPr>
                <w:i/>
                <w:iCs/>
              </w:rPr>
              <w:t xml:space="preserve">These patients come in for a specified </w:t>
            </w:r>
            <w:r w:rsidR="00ED7CC0" w:rsidRPr="00ED7CC0">
              <w:rPr>
                <w:i/>
                <w:iCs/>
              </w:rPr>
              <w:t>period</w:t>
            </w:r>
            <w:r w:rsidRPr="00ED7CC0">
              <w:rPr>
                <w:i/>
                <w:iCs/>
              </w:rPr>
              <w:t xml:space="preserve"> – usually less than a fortnight for</w:t>
            </w:r>
            <w:r w:rsidR="00ED7CC0" w:rsidRPr="00ED7CC0">
              <w:rPr>
                <w:i/>
                <w:iCs/>
              </w:rPr>
              <w:t xml:space="preserve"> regular</w:t>
            </w:r>
            <w:r w:rsidRPr="00ED7CC0">
              <w:rPr>
                <w:i/>
                <w:iCs/>
              </w:rPr>
              <w:t xml:space="preserve"> treatment of chronic conditions.</w:t>
            </w:r>
          </w:p>
        </w:tc>
      </w:tr>
      <w:tr w:rsidR="005E630F" w:rsidRPr="00ED7CC0" w14:paraId="31F43A80" w14:textId="77777777" w:rsidTr="005E630F">
        <w:trPr>
          <w:trHeight w:val="644"/>
        </w:trPr>
        <w:tc>
          <w:tcPr>
            <w:tcW w:w="4779" w:type="dxa"/>
          </w:tcPr>
          <w:p w14:paraId="18CA4455" w14:textId="4BFDBE0E" w:rsidR="005E630F" w:rsidRPr="00ED7CC0" w:rsidRDefault="005E630F">
            <w:pPr>
              <w:rPr>
                <w:i/>
                <w:iCs/>
              </w:rPr>
            </w:pPr>
            <w:r w:rsidRPr="00ED7CC0">
              <w:rPr>
                <w:i/>
                <w:iCs/>
              </w:rPr>
              <w:t>Trauma</w:t>
            </w:r>
          </w:p>
        </w:tc>
        <w:tc>
          <w:tcPr>
            <w:tcW w:w="4779" w:type="dxa"/>
          </w:tcPr>
          <w:p w14:paraId="22AC2BC6" w14:textId="7B5C7E73" w:rsidR="005E630F" w:rsidRPr="00ED7CC0" w:rsidRDefault="005E630F">
            <w:pPr>
              <w:rPr>
                <w:i/>
                <w:iCs/>
              </w:rPr>
            </w:pPr>
            <w:r w:rsidRPr="00ED7CC0">
              <w:rPr>
                <w:i/>
                <w:iCs/>
              </w:rPr>
              <w:t>Patients who are admitted following a traumatic injury</w:t>
            </w:r>
            <w:r w:rsidR="00ED7CC0" w:rsidRPr="00ED7CC0">
              <w:rPr>
                <w:i/>
                <w:iCs/>
              </w:rPr>
              <w:t>. Usually associated with longer ward stays</w:t>
            </w:r>
          </w:p>
        </w:tc>
      </w:tr>
      <w:tr w:rsidR="005E630F" w:rsidRPr="00ED7CC0" w14:paraId="6C79DFEC" w14:textId="77777777" w:rsidTr="005E630F">
        <w:trPr>
          <w:trHeight w:val="608"/>
        </w:trPr>
        <w:tc>
          <w:tcPr>
            <w:tcW w:w="4779" w:type="dxa"/>
          </w:tcPr>
          <w:p w14:paraId="01750D75" w14:textId="56441453" w:rsidR="005E630F" w:rsidRPr="00ED7CC0" w:rsidRDefault="005E630F">
            <w:pPr>
              <w:rPr>
                <w:i/>
                <w:iCs/>
              </w:rPr>
            </w:pPr>
            <w:r w:rsidRPr="00ED7CC0">
              <w:rPr>
                <w:i/>
                <w:iCs/>
              </w:rPr>
              <w:t>Circulation</w:t>
            </w:r>
          </w:p>
        </w:tc>
        <w:tc>
          <w:tcPr>
            <w:tcW w:w="4779" w:type="dxa"/>
          </w:tcPr>
          <w:p w14:paraId="0291E387" w14:textId="440385FC" w:rsidR="005E630F" w:rsidRPr="00ED7CC0" w:rsidRDefault="005E630F">
            <w:pPr>
              <w:rPr>
                <w:i/>
                <w:iCs/>
              </w:rPr>
            </w:pPr>
            <w:r w:rsidRPr="00ED7CC0">
              <w:rPr>
                <w:i/>
                <w:iCs/>
              </w:rPr>
              <w:t xml:space="preserve">Patients admitted with conditions of the Circulatory system </w:t>
            </w:r>
          </w:p>
        </w:tc>
      </w:tr>
      <w:tr w:rsidR="005E630F" w:rsidRPr="00ED7CC0" w14:paraId="03B42A9C" w14:textId="77777777" w:rsidTr="005E630F">
        <w:trPr>
          <w:trHeight w:val="644"/>
        </w:trPr>
        <w:tc>
          <w:tcPr>
            <w:tcW w:w="4779" w:type="dxa"/>
          </w:tcPr>
          <w:p w14:paraId="1A904268" w14:textId="1675588B" w:rsidR="005E630F" w:rsidRPr="00ED7CC0" w:rsidRDefault="005E630F">
            <w:pPr>
              <w:rPr>
                <w:i/>
                <w:iCs/>
              </w:rPr>
            </w:pPr>
            <w:r w:rsidRPr="00ED7CC0">
              <w:rPr>
                <w:i/>
                <w:iCs/>
              </w:rPr>
              <w:t>Norovirus</w:t>
            </w:r>
          </w:p>
        </w:tc>
        <w:tc>
          <w:tcPr>
            <w:tcW w:w="4779" w:type="dxa"/>
          </w:tcPr>
          <w:p w14:paraId="2B504D99" w14:textId="299029A5" w:rsidR="005E630F" w:rsidRPr="00ED7CC0" w:rsidRDefault="005E630F">
            <w:pPr>
              <w:rPr>
                <w:i/>
                <w:iCs/>
              </w:rPr>
            </w:pPr>
            <w:r w:rsidRPr="00ED7CC0">
              <w:rPr>
                <w:i/>
                <w:iCs/>
              </w:rPr>
              <w:t>Patients admitted with Norovirus. Short,</w:t>
            </w:r>
            <w:r w:rsidR="00ED7CC0" w:rsidRPr="00ED7CC0">
              <w:rPr>
                <w:i/>
                <w:iCs/>
              </w:rPr>
              <w:t xml:space="preserve"> </w:t>
            </w:r>
            <w:r w:rsidRPr="00ED7CC0">
              <w:rPr>
                <w:i/>
                <w:iCs/>
              </w:rPr>
              <w:t>seasonal admissions</w:t>
            </w:r>
            <w:r w:rsidR="00ED7CC0" w:rsidRPr="00ED7CC0">
              <w:rPr>
                <w:i/>
                <w:iCs/>
              </w:rPr>
              <w:t xml:space="preserve"> which are</w:t>
            </w:r>
            <w:r w:rsidRPr="00ED7CC0">
              <w:rPr>
                <w:i/>
                <w:iCs/>
              </w:rPr>
              <w:t xml:space="preserve"> not in scope for the Discharge Portal.</w:t>
            </w:r>
          </w:p>
        </w:tc>
      </w:tr>
      <w:tr w:rsidR="005E630F" w:rsidRPr="00ED7CC0" w14:paraId="7FC8CF01" w14:textId="77777777" w:rsidTr="005E630F">
        <w:trPr>
          <w:trHeight w:val="608"/>
        </w:trPr>
        <w:tc>
          <w:tcPr>
            <w:tcW w:w="4779" w:type="dxa"/>
          </w:tcPr>
          <w:p w14:paraId="31D357DF" w14:textId="4FC72325" w:rsidR="005E630F" w:rsidRPr="00ED7CC0" w:rsidRDefault="005E630F">
            <w:pPr>
              <w:rPr>
                <w:i/>
                <w:iCs/>
              </w:rPr>
            </w:pPr>
            <w:r w:rsidRPr="00ED7CC0">
              <w:rPr>
                <w:i/>
                <w:iCs/>
              </w:rPr>
              <w:t>Other</w:t>
            </w:r>
          </w:p>
        </w:tc>
        <w:tc>
          <w:tcPr>
            <w:tcW w:w="4779" w:type="dxa"/>
          </w:tcPr>
          <w:p w14:paraId="13DEDE81" w14:textId="266000F4" w:rsidR="005E630F" w:rsidRPr="00ED7CC0" w:rsidRDefault="005E630F">
            <w:pPr>
              <w:rPr>
                <w:i/>
                <w:iCs/>
              </w:rPr>
            </w:pPr>
            <w:r w:rsidRPr="00ED7CC0">
              <w:rPr>
                <w:i/>
                <w:iCs/>
              </w:rPr>
              <w:t>Any other conditions</w:t>
            </w:r>
          </w:p>
        </w:tc>
      </w:tr>
    </w:tbl>
    <w:p w14:paraId="0A6F72E5" w14:textId="77777777" w:rsidR="005E630F" w:rsidRPr="00ED7CC0" w:rsidRDefault="005E630F">
      <w:pPr>
        <w:rPr>
          <w:i/>
          <w:iCs/>
        </w:rPr>
      </w:pPr>
    </w:p>
    <w:p w14:paraId="43C7EDA0" w14:textId="50839D4B" w:rsidR="005E630F" w:rsidRPr="00ED7CC0" w:rsidRDefault="00ED7CC0">
      <w:pPr>
        <w:rPr>
          <w:i/>
          <w:iCs/>
        </w:rPr>
      </w:pPr>
      <w:r w:rsidRPr="00ED7CC0">
        <w:rPr>
          <w:i/>
          <w:iCs/>
        </w:rPr>
        <w:t>Generally older patients</w:t>
      </w:r>
      <w:r w:rsidR="00A52682">
        <w:rPr>
          <w:i/>
          <w:iCs/>
        </w:rPr>
        <w:t xml:space="preserve"> </w:t>
      </w:r>
      <w:r w:rsidR="00A00478">
        <w:rPr>
          <w:i/>
          <w:iCs/>
        </w:rPr>
        <w:t xml:space="preserve">- </w:t>
      </w:r>
      <w:r w:rsidR="00A52682">
        <w:rPr>
          <w:i/>
          <w:iCs/>
        </w:rPr>
        <w:t xml:space="preserve">especially those over </w:t>
      </w:r>
      <w:r w:rsidR="00A00478">
        <w:rPr>
          <w:i/>
          <w:iCs/>
        </w:rPr>
        <w:t>70 -</w:t>
      </w:r>
      <w:r w:rsidRPr="00ED7CC0">
        <w:rPr>
          <w:i/>
          <w:iCs/>
        </w:rPr>
        <w:t xml:space="preserve"> are much more likely to require community support upon discharge so should be the most impacted</w:t>
      </w:r>
      <w:r w:rsidR="00FD3D87">
        <w:rPr>
          <w:i/>
          <w:iCs/>
        </w:rPr>
        <w:t xml:space="preserve"> by the community discharge portal</w:t>
      </w:r>
      <w:r w:rsidRPr="00ED7CC0">
        <w:rPr>
          <w:i/>
          <w:iCs/>
        </w:rPr>
        <w:t xml:space="preserve">. Unfortunately, we can’t pull data off the portal yet so can’t check which patients the portal was used for. </w:t>
      </w:r>
    </w:p>
    <w:p w14:paraId="5F4B4C63" w14:textId="79DDFBD3" w:rsidR="00ED7CC0" w:rsidRPr="00ED7CC0" w:rsidRDefault="00ED7CC0">
      <w:pPr>
        <w:rPr>
          <w:i/>
          <w:iCs/>
        </w:rPr>
      </w:pPr>
      <w:r w:rsidRPr="00ED7CC0">
        <w:rPr>
          <w:i/>
          <w:iCs/>
        </w:rPr>
        <w:t>Thanks,</w:t>
      </w:r>
    </w:p>
    <w:p w14:paraId="1E3013F4" w14:textId="5780FB02" w:rsidR="00ED7CC0" w:rsidRDefault="00ED7CC0">
      <w:pPr>
        <w:rPr>
          <w:i/>
          <w:iCs/>
        </w:rPr>
      </w:pPr>
      <w:r w:rsidRPr="00ED7CC0">
        <w:rPr>
          <w:i/>
          <w:iCs/>
        </w:rPr>
        <w:t>MGW Performance Team</w:t>
      </w:r>
    </w:p>
    <w:p w14:paraId="18070BFC" w14:textId="77777777" w:rsidR="00ED7CC0" w:rsidRDefault="00ED7CC0">
      <w:pPr>
        <w:rPr>
          <w:i/>
          <w:iCs/>
        </w:rPr>
      </w:pPr>
    </w:p>
    <w:p w14:paraId="414603BF" w14:textId="175F9790" w:rsidR="00ED7CC0" w:rsidRDefault="00ED7CC0">
      <w:pPr>
        <w:rPr>
          <w:u w:val="single"/>
        </w:rPr>
      </w:pPr>
      <w:r w:rsidRPr="00ED7CC0">
        <w:rPr>
          <w:u w:val="single"/>
        </w:rPr>
        <w:lastRenderedPageBreak/>
        <w:t>Your task</w:t>
      </w:r>
    </w:p>
    <w:p w14:paraId="060B56B6" w14:textId="2C5058CA" w:rsidR="00ED7CC0" w:rsidRDefault="00ED7CC0">
      <w:r>
        <w:t xml:space="preserve">Review the attached data and respond to the e-mail. Your e-mail should include: </w:t>
      </w:r>
    </w:p>
    <w:p w14:paraId="7A66C155" w14:textId="28700B9F" w:rsidR="00ED7CC0" w:rsidRDefault="00ED7CC0" w:rsidP="00ED7CC0">
      <w:pPr>
        <w:pStyle w:val="ListParagraph"/>
        <w:numPr>
          <w:ilvl w:val="0"/>
          <w:numId w:val="1"/>
        </w:numPr>
      </w:pPr>
      <w:r>
        <w:t xml:space="preserve">Your independent assessment of </w:t>
      </w:r>
      <w:r w:rsidR="00456073">
        <w:t xml:space="preserve">the 20% drop in </w:t>
      </w:r>
      <w:r w:rsidR="00DA1E60">
        <w:t>admission length of stay over the past six months</w:t>
      </w:r>
    </w:p>
    <w:p w14:paraId="7D612BCC" w14:textId="6E77AE18" w:rsidR="00DA1E60" w:rsidRDefault="0005687B" w:rsidP="00ED7CC0">
      <w:pPr>
        <w:pStyle w:val="ListParagraph"/>
        <w:numPr>
          <w:ilvl w:val="0"/>
          <w:numId w:val="1"/>
        </w:numPr>
      </w:pPr>
      <w:r>
        <w:t>At least three well explained charts summarising your findings to a non-technical audience</w:t>
      </w:r>
    </w:p>
    <w:p w14:paraId="4E635A6E" w14:textId="40784810" w:rsidR="0005687B" w:rsidRDefault="0005687B" w:rsidP="00ED7CC0">
      <w:pPr>
        <w:pStyle w:val="ListParagraph"/>
        <w:numPr>
          <w:ilvl w:val="0"/>
          <w:numId w:val="1"/>
        </w:numPr>
      </w:pPr>
      <w:r>
        <w:t xml:space="preserve">Recommendations for potential </w:t>
      </w:r>
      <w:r w:rsidR="002E7ED6">
        <w:t xml:space="preserve">next steps </w:t>
      </w:r>
      <w:r w:rsidR="00D530ED">
        <w:t>and further data analysis</w:t>
      </w:r>
    </w:p>
    <w:p w14:paraId="4DC7A823" w14:textId="349548A5" w:rsidR="00C776AB" w:rsidRPr="00ED7CC0" w:rsidRDefault="00C776AB" w:rsidP="00C776AB">
      <w:r>
        <w:t>Please ensure you read the question fully and consider including some detail on what you have investigated and may not have had an impact as well as what has.</w:t>
      </w:r>
    </w:p>
    <w:sectPr w:rsidR="00C776AB" w:rsidRPr="00ED7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66633D"/>
    <w:multiLevelType w:val="hybridMultilevel"/>
    <w:tmpl w:val="8856A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226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26"/>
    <w:rsid w:val="00002530"/>
    <w:rsid w:val="0005687B"/>
    <w:rsid w:val="0015191E"/>
    <w:rsid w:val="002E7ED6"/>
    <w:rsid w:val="00456073"/>
    <w:rsid w:val="004D0127"/>
    <w:rsid w:val="00520226"/>
    <w:rsid w:val="005E630F"/>
    <w:rsid w:val="00772250"/>
    <w:rsid w:val="00A00478"/>
    <w:rsid w:val="00A52682"/>
    <w:rsid w:val="00B70224"/>
    <w:rsid w:val="00C776AB"/>
    <w:rsid w:val="00D530ED"/>
    <w:rsid w:val="00DA1E60"/>
    <w:rsid w:val="00E45AB1"/>
    <w:rsid w:val="00ED7CC0"/>
    <w:rsid w:val="00EE127B"/>
    <w:rsid w:val="00FD3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4287"/>
  <w15:chartTrackingRefBased/>
  <w15:docId w15:val="{22D7BCCD-FDE5-4258-A9D2-BEFB8ADF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226"/>
    <w:rPr>
      <w:rFonts w:eastAsiaTheme="majorEastAsia" w:cstheme="majorBidi"/>
      <w:color w:val="272727" w:themeColor="text1" w:themeTint="D8"/>
    </w:rPr>
  </w:style>
  <w:style w:type="paragraph" w:styleId="Title">
    <w:name w:val="Title"/>
    <w:basedOn w:val="Normal"/>
    <w:next w:val="Normal"/>
    <w:link w:val="TitleChar"/>
    <w:uiPriority w:val="10"/>
    <w:qFormat/>
    <w:rsid w:val="00520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226"/>
    <w:pPr>
      <w:spacing w:before="160"/>
      <w:jc w:val="center"/>
    </w:pPr>
    <w:rPr>
      <w:i/>
      <w:iCs/>
      <w:color w:val="404040" w:themeColor="text1" w:themeTint="BF"/>
    </w:rPr>
  </w:style>
  <w:style w:type="character" w:customStyle="1" w:styleId="QuoteChar">
    <w:name w:val="Quote Char"/>
    <w:basedOn w:val="DefaultParagraphFont"/>
    <w:link w:val="Quote"/>
    <w:uiPriority w:val="29"/>
    <w:rsid w:val="00520226"/>
    <w:rPr>
      <w:i/>
      <w:iCs/>
      <w:color w:val="404040" w:themeColor="text1" w:themeTint="BF"/>
    </w:rPr>
  </w:style>
  <w:style w:type="paragraph" w:styleId="ListParagraph">
    <w:name w:val="List Paragraph"/>
    <w:basedOn w:val="Normal"/>
    <w:uiPriority w:val="34"/>
    <w:qFormat/>
    <w:rsid w:val="00520226"/>
    <w:pPr>
      <w:ind w:left="720"/>
      <w:contextualSpacing/>
    </w:pPr>
  </w:style>
  <w:style w:type="character" w:styleId="IntenseEmphasis">
    <w:name w:val="Intense Emphasis"/>
    <w:basedOn w:val="DefaultParagraphFont"/>
    <w:uiPriority w:val="21"/>
    <w:qFormat/>
    <w:rsid w:val="00520226"/>
    <w:rPr>
      <w:i/>
      <w:iCs/>
      <w:color w:val="0F4761" w:themeColor="accent1" w:themeShade="BF"/>
    </w:rPr>
  </w:style>
  <w:style w:type="paragraph" w:styleId="IntenseQuote">
    <w:name w:val="Intense Quote"/>
    <w:basedOn w:val="Normal"/>
    <w:next w:val="Normal"/>
    <w:link w:val="IntenseQuoteChar"/>
    <w:uiPriority w:val="30"/>
    <w:qFormat/>
    <w:rsid w:val="00520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226"/>
    <w:rPr>
      <w:i/>
      <w:iCs/>
      <w:color w:val="0F4761" w:themeColor="accent1" w:themeShade="BF"/>
    </w:rPr>
  </w:style>
  <w:style w:type="character" w:styleId="IntenseReference">
    <w:name w:val="Intense Reference"/>
    <w:basedOn w:val="DefaultParagraphFont"/>
    <w:uiPriority w:val="32"/>
    <w:qFormat/>
    <w:rsid w:val="00520226"/>
    <w:rPr>
      <w:b/>
      <w:bCs/>
      <w:smallCaps/>
      <w:color w:val="0F4761" w:themeColor="accent1" w:themeShade="BF"/>
      <w:spacing w:val="5"/>
    </w:rPr>
  </w:style>
  <w:style w:type="table" w:styleId="TableGrid">
    <w:name w:val="Table Grid"/>
    <w:basedOn w:val="TableNormal"/>
    <w:uiPriority w:val="39"/>
    <w:rsid w:val="005E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338</Words>
  <Characters>1929</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Manchester University NHS Foundation Trust</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Thomas (R0A) Manchester University NHS FT</dc:creator>
  <cp:keywords/>
  <dc:description/>
  <cp:lastModifiedBy>Richardson Alex (R0A) Manchester University NHS FT</cp:lastModifiedBy>
  <cp:revision>2</cp:revision>
  <dcterms:created xsi:type="dcterms:W3CDTF">2025-03-11T10:24:00Z</dcterms:created>
  <dcterms:modified xsi:type="dcterms:W3CDTF">2025-03-11T10:24:00Z</dcterms:modified>
</cp:coreProperties>
</file>