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82088" w14:textId="2F80D012" w:rsidR="00A4196F" w:rsidRDefault="00A4196F" w:rsidP="00A4196F">
      <w:pPr>
        <w:rPr>
          <w:rFonts w:ascii="Garamond" w:hAnsi="Garamond"/>
          <w:lang w:val="en-US"/>
        </w:rPr>
      </w:pPr>
      <w:r>
        <w:rPr>
          <w:rFonts w:ascii="Garamond" w:hAnsi="Garamond"/>
          <w:lang w:val="en-US"/>
        </w:rPr>
        <w:t xml:space="preserve">Vaccination has emerged as the most </w:t>
      </w:r>
      <w:r w:rsidR="001E2221">
        <w:rPr>
          <w:rFonts w:ascii="Garamond" w:hAnsi="Garamond"/>
          <w:lang w:val="en-US"/>
        </w:rPr>
        <w:t>effective</w:t>
      </w:r>
      <w:r>
        <w:rPr>
          <w:rFonts w:ascii="Garamond" w:hAnsi="Garamond"/>
          <w:lang w:val="en-US"/>
        </w:rPr>
        <w:t xml:space="preserve"> tool </w:t>
      </w:r>
      <w:r w:rsidR="008124E4">
        <w:rPr>
          <w:rFonts w:ascii="Garamond" w:hAnsi="Garamond"/>
          <w:lang w:val="en-US"/>
        </w:rPr>
        <w:t>in the fight against</w:t>
      </w:r>
      <w:r>
        <w:rPr>
          <w:rFonts w:ascii="Garamond" w:hAnsi="Garamond"/>
          <w:lang w:val="en-US"/>
        </w:rPr>
        <w:t xml:space="preserve"> infectious diseases</w:t>
      </w:r>
      <w:r w:rsidR="008124E4">
        <w:rPr>
          <w:rFonts w:ascii="Garamond" w:hAnsi="Garamond"/>
          <w:lang w:val="en-US"/>
        </w:rPr>
        <w:t xml:space="preserve">, contributing to improved survival and health </w:t>
      </w:r>
      <w:r w:rsidR="00324CD5">
        <w:rPr>
          <w:rFonts w:ascii="Garamond" w:hAnsi="Garamond"/>
          <w:lang w:val="en-US"/>
        </w:rPr>
        <w:t>globally</w:t>
      </w:r>
      <w:r w:rsidR="008124E4">
        <w:rPr>
          <w:rFonts w:ascii="Garamond" w:hAnsi="Garamond"/>
          <w:lang w:val="en-US"/>
        </w:rPr>
        <w:t xml:space="preserve">. According to a recent study evaluating fifty years of the </w:t>
      </w:r>
      <w:r w:rsidR="001E2221">
        <w:rPr>
          <w:rFonts w:ascii="Garamond" w:hAnsi="Garamond"/>
          <w:lang w:val="en-US"/>
        </w:rPr>
        <w:t>Essential</w:t>
      </w:r>
      <w:r w:rsidR="008124E4">
        <w:rPr>
          <w:rFonts w:ascii="Garamond" w:hAnsi="Garamond"/>
          <w:lang w:val="en-US"/>
        </w:rPr>
        <w:t xml:space="preserve"> Program</w:t>
      </w:r>
      <w:r w:rsidR="001E2221">
        <w:rPr>
          <w:rFonts w:ascii="Garamond" w:hAnsi="Garamond"/>
          <w:lang w:val="en-US"/>
        </w:rPr>
        <w:t>me</w:t>
      </w:r>
      <w:r w:rsidR="008124E4">
        <w:rPr>
          <w:rFonts w:ascii="Garamond" w:hAnsi="Garamond"/>
          <w:lang w:val="en-US"/>
        </w:rPr>
        <w:t xml:space="preserve"> on </w:t>
      </w:r>
      <w:r w:rsidR="001E2221">
        <w:rPr>
          <w:rFonts w:ascii="Garamond" w:hAnsi="Garamond"/>
          <w:lang w:val="en-US"/>
        </w:rPr>
        <w:t>Immunization</w:t>
      </w:r>
      <w:r w:rsidR="008124E4">
        <w:rPr>
          <w:rFonts w:ascii="Garamond" w:hAnsi="Garamond"/>
          <w:lang w:val="en-US"/>
        </w:rPr>
        <w:t xml:space="preserve"> (EPI)</w:t>
      </w:r>
      <w:r w:rsidR="008124E4">
        <w:rPr>
          <w:rFonts w:ascii="Garamond" w:hAnsi="Garamond"/>
          <w:lang w:val="en-US"/>
        </w:rPr>
        <w:fldChar w:fldCharType="begin"/>
      </w:r>
      <w:r w:rsidR="008124E4">
        <w:rPr>
          <w:rFonts w:ascii="Garamond" w:hAnsi="Garamond"/>
          <w:lang w:val="en-US"/>
        </w:rPr>
        <w:instrText xml:space="preserve"> ADDIN ZOTERO_ITEM CSL_CITATION {"citationID":"ivVmCS3i","properties":{"formattedCitation":"\\super 1,2\\nosupersub{}","plainCitation":"1,2","noteIndex":0},"citationItems":[{"id":31,"uris":["http://zotero.org/users/16177715/items/73JMXG7N"],"itemData":{"id":31,"type":"article-journal","container-title":"The Lancet","DOI":"10.1016/S0140-6736(24)00850-X","ISSN":"0140-6736, 1474-547X","issue":"10441","journalAbbreviation":"The Lancet","language":"English","page":"2307-2316","PMID":"38705159","publisher":"Elsevier","source":"www.thelancet.com","title":"Contribution of vaccination to improved survival and health: modelling 50 years of the Expanded Programme on Immunization","title-short":"Contribution of vaccination to improved survival and health","volume":"403","author":[{"family":"Shattock","given":"Andrew J."},{"family":"Johnson","given":"Helen C."},{"family":"Sim","given":"So Yoon"},{"family":"Carter","given":"Austin"},{"family":"Lambach","given":"Philipp"},{"family":"Hutubessy","given":"Raymond C. W."},{"family":"Thompson","given":"Kimberly M."},{"family":"Badizadegan","given":"Kamran"},{"family":"Lambert","given":"Brian"},{"family":"Ferrari","given":"Matthew J."},{"family":"Jit","given":"Mark"},{"family":"Fu","given":"Han"},{"family":"Silal","given":"Sheetal P."},{"family":"Hounsell","given":"Rachel A."},{"family":"White","given":"Richard G."},{"family":"Mosser","given":"Jonathan F."},{"family":"Gaythorpe","given":"Katy A. M."},{"family":"Trotter","given":"Caroline L."},{"family":"Lindstrand","given":"Ann"},{"family":"O'Brien","given":"Katherine L."},{"family":"Bar-Zeev","given":"Naor"}],"issued":{"date-parts":[["2024",5,25]]}}},{"id":1183,"uris":["http://zotero.org/users/16177715/items/FR5RDE6D"],"itemData":{"id":1183,"type":"article-journal","abstract":"Vaccination has made an enormous contribution to global health. Two major infections, smallpox and rinderpest, have been eradicated. Global coverage of vaccination against many important infectious diseases of childhood has been enhanced dramatically since the creation of WHO's Expanded Programme of Immunization in 1974 and of the Global Alliance for Vaccination and Immunization in 2000. Polio has almost been eradicated and success in controlling measles makes this infection another potential target for eradication. Despite these successes, approximately 6.6 million children still die each year and about a half of these deaths are caused by infections, including pneumonia and diarrhoea, which could be prevented by vaccination. Enhanced deployment of recently developed pneumococcal conjugate and rotavirus vaccines should, therefore, result in a further decline in childhood mortality. Development of vaccines against more complex infections, such as malaria, tuberculosis and HIV, has been challenging and achievements so far have been modest. Final success against these infections may require combination vaccinations, each component stimulating a different arm of the immune system. In the longer term, vaccines are likely to be used to prevent or modulate the course of some non-infectious diseases. Progress has already been made with therapeutic cancer vaccines and future potential targets include addiction, diabetes, hypertension and Alzheimer's disease.","container-title":"Philosophical Transactions of the Royal Society B: Biological Sciences","DOI":"10.1098/rstb.2013.0433","ISSN":"0962-8436","issue":"1645","journalAbbreviation":"Philos Trans R Soc Lond B Biol Sci","page":"20130433","PMID":"24821919","PMCID":"PMC4024226","source":"PubMed Central","title":"The contribution of vaccination to global health: past, present and future","title-short":"The contribution of vaccination to global health","volume":"369","author":[{"family":"Greenwood","given":"Brian"}],"issued":{"date-parts":[["2014",6,19]]}}}],"schema":"https://github.com/citation-style-language/schema/raw/master/csl-citation.json"} </w:instrText>
      </w:r>
      <w:r w:rsidR="008124E4">
        <w:rPr>
          <w:rFonts w:ascii="Garamond" w:hAnsi="Garamond"/>
          <w:lang w:val="en-US"/>
        </w:rPr>
        <w:fldChar w:fldCharType="separate"/>
      </w:r>
      <w:r w:rsidR="008124E4" w:rsidRPr="008124E4">
        <w:rPr>
          <w:rFonts w:ascii="Garamond" w:hAnsi="Garamond" w:cs="Times New Roman"/>
          <w:kern w:val="0"/>
          <w:vertAlign w:val="superscript"/>
          <w:lang w:val="en-GB"/>
        </w:rPr>
        <w:t>1,2</w:t>
      </w:r>
      <w:r w:rsidR="008124E4">
        <w:rPr>
          <w:rFonts w:ascii="Garamond" w:hAnsi="Garamond"/>
          <w:lang w:val="en-US"/>
        </w:rPr>
        <w:fldChar w:fldCharType="end"/>
      </w:r>
      <w:r w:rsidR="008124E4">
        <w:rPr>
          <w:rFonts w:ascii="Garamond" w:hAnsi="Garamond"/>
          <w:lang w:val="en-US"/>
        </w:rPr>
        <w:t>, vaccination progr</w:t>
      </w:r>
      <w:r w:rsidR="00324CD5">
        <w:rPr>
          <w:rFonts w:ascii="Garamond" w:hAnsi="Garamond"/>
          <w:lang w:val="en-US"/>
        </w:rPr>
        <w:t>a</w:t>
      </w:r>
      <w:r w:rsidR="008124E4">
        <w:rPr>
          <w:rFonts w:ascii="Garamond" w:hAnsi="Garamond"/>
          <w:lang w:val="en-US"/>
        </w:rPr>
        <w:t>ms have led to an averted 154 million deaths, of which, 95% are in children under five years</w:t>
      </w:r>
      <w:r w:rsidR="00324CD5">
        <w:rPr>
          <w:rFonts w:ascii="Garamond" w:hAnsi="Garamond"/>
          <w:lang w:val="en-US"/>
        </w:rPr>
        <w:t xml:space="preserve">. </w:t>
      </w:r>
      <w:r w:rsidR="008124E4">
        <w:rPr>
          <w:rFonts w:ascii="Garamond" w:hAnsi="Garamond"/>
          <w:lang w:val="en-US"/>
        </w:rPr>
        <w:t>In the past century alone, rinderpest in ruminants and smallpox in humans</w:t>
      </w:r>
      <w:r w:rsidR="00324CD5">
        <w:rPr>
          <w:rFonts w:ascii="Garamond" w:hAnsi="Garamond"/>
          <w:lang w:val="en-US"/>
        </w:rPr>
        <w:fldChar w:fldCharType="begin"/>
      </w:r>
      <w:r w:rsidR="00324CD5">
        <w:rPr>
          <w:rFonts w:ascii="Garamond" w:hAnsi="Garamond"/>
          <w:lang w:val="en-US"/>
        </w:rPr>
        <w:instrText xml:space="preserve"> ADDIN ZOTERO_ITEM CSL_CITATION {"citationID":"w7P1Zajg","properties":{"formattedCitation":"\\super 3,4\\nosupersub{}","plainCitation":"3,4","noteIndex":0},"citationItems":[{"id":1188,"uris":["http://zotero.org/users/16177715/items/BXUFDEH9"],"itemData":{"id":1188,"type":"article-journal","abstract":"On May 8, 1980, the 33rd World Health Assembly declared the world free of smallpox. This followed approximately 2 1/2 years after the last documented naturally occurring case of smallpox was diagnosed in a hospital worker in Merca, Somalia. A major breakthrough for the eventual control of this disease was the discovery of an effective vaccine by Edward Jenner in 1796. In 1966 the World Health Assembly voted a special budget to eliminate smallpox from the world. At that time, smallpox was endemic in more than 30 countries. Mass vaccination programs were successful in many Western countries; however, a different approach was taken in developing countries. This approach was known as surveillance and containment. Surveillance was aided by extensive house-to-house searches and rewards offered for persons reporting smallpox cases. Containment measures included ring vaccination and isolation of cases and contacts. Hospitals played a major role in transmission in a number of smallpox outbreaks. The World Health Organization is currently supporting several control programs and has not singled out another disease for eradication. The lessons learned from the smallpox campaign can be readily applied to other public health programs.","container-title":"American Journal of Infection Control","DOI":"10.1016/0196-6553(82)90003-7","ISSN":"0196-6553","issue":"2","journalAbbreviation":"Am J Infect Control","language":"eng","page":"53-59","PMID":"7044193","source":"PubMed","title":"The global eradication of smallpox","volume":"10","author":[{"family":"Strassburg","given":"M. A."}],"issued":{"date-parts":[["1982",5]]}}},{"id":1186,"uris":["http://zotero.org/users/16177715/items/JFPMKDBV"],"itemData":{"id":1186,"type":"article-journal","abstract":"In 2011, the Food and Agriculture Organization of the United Nations (FAO) officially declared rinderpest eradicated. This cattle virus, which has historically had significant political, economic, and social consequences, is only the second infectious disease to disappear from the face of the planet due to concerted human actions. This paper explores the effects that rinderpest has had historically, chronicles the actions of the Global Rinderpest Eradication Campaign (GREP), and discusses the lessons that GREP can offer for combating other infectious diseases. I argue that rinderpest's unique viral characteristics made eradication particularly feasible, but that GREP's activities offer important lessons for fostering international cooperation on controlling infectious disease outbreaks.","container-title":"Politics and the Life Sciences","DOI":"10.2990/32_1_43","ISSN":"0730-9384, 1471-5457","issue":"1","language":"en","page":"43-57","source":"Cambridge University Press","title":"Cattle scourge no more: The eradication of rinderpest and its lessons for global health campaigns","title-short":"Cattle scourge no more","volume":"32","author":[{"family":"Youde","given":"Jeremy"}],"issued":{"date-parts":[["2013",4]]}}}],"schema":"https://github.com/citation-style-language/schema/raw/master/csl-citation.json"} </w:instrText>
      </w:r>
      <w:r w:rsidR="00324CD5">
        <w:rPr>
          <w:rFonts w:ascii="Garamond" w:hAnsi="Garamond"/>
          <w:lang w:val="en-US"/>
        </w:rPr>
        <w:fldChar w:fldCharType="separate"/>
      </w:r>
      <w:r w:rsidR="00324CD5" w:rsidRPr="00324CD5">
        <w:rPr>
          <w:rFonts w:ascii="Garamond" w:hAnsi="Garamond" w:cs="Times New Roman"/>
          <w:kern w:val="0"/>
          <w:vertAlign w:val="superscript"/>
          <w:lang w:val="en-GB"/>
        </w:rPr>
        <w:t>3,4</w:t>
      </w:r>
      <w:r w:rsidR="00324CD5">
        <w:rPr>
          <w:rFonts w:ascii="Garamond" w:hAnsi="Garamond"/>
          <w:lang w:val="en-US"/>
        </w:rPr>
        <w:fldChar w:fldCharType="end"/>
      </w:r>
      <w:r w:rsidR="008124E4">
        <w:rPr>
          <w:rFonts w:ascii="Garamond" w:hAnsi="Garamond"/>
          <w:lang w:val="en-US"/>
        </w:rPr>
        <w:t xml:space="preserve"> have been eradicated due to joint efforts in vaccination globally, with other major infectious diseases set for eradication such as Polio.</w:t>
      </w:r>
      <w:r w:rsidR="00324CD5">
        <w:rPr>
          <w:rFonts w:ascii="Garamond" w:hAnsi="Garamond"/>
          <w:lang w:val="en-US"/>
        </w:rPr>
        <w:t xml:space="preserve"> </w:t>
      </w:r>
      <w:r w:rsidR="001E2221">
        <w:rPr>
          <w:rFonts w:ascii="Garamond" w:hAnsi="Garamond"/>
          <w:lang w:val="en-US"/>
        </w:rPr>
        <w:t xml:space="preserve">Studies suggest that concerted efforts towards the realization of improved survival and health require sustained </w:t>
      </w:r>
      <w:r w:rsidR="002A0A67">
        <w:rPr>
          <w:rFonts w:ascii="Garamond" w:hAnsi="Garamond"/>
          <w:lang w:val="en-US"/>
        </w:rPr>
        <w:t>funding vaccination programs</w:t>
      </w:r>
      <w:r w:rsidR="001E2221">
        <w:rPr>
          <w:rFonts w:ascii="Garamond" w:hAnsi="Garamond"/>
          <w:lang w:val="en-US"/>
        </w:rPr>
        <w:t xml:space="preserve">, improved access to quality healthcare and </w:t>
      </w:r>
      <w:r w:rsidR="00EC22C7">
        <w:rPr>
          <w:rFonts w:ascii="Garamond" w:hAnsi="Garamond"/>
          <w:lang w:val="en-US"/>
        </w:rPr>
        <w:t>mass education</w:t>
      </w:r>
      <w:r w:rsidR="001E2221">
        <w:rPr>
          <w:rFonts w:ascii="Garamond" w:hAnsi="Garamond"/>
          <w:lang w:val="en-US"/>
        </w:rPr>
        <w:fldChar w:fldCharType="begin"/>
      </w:r>
      <w:r w:rsidR="001E2221">
        <w:rPr>
          <w:rFonts w:ascii="Garamond" w:hAnsi="Garamond"/>
          <w:lang w:val="en-US"/>
        </w:rPr>
        <w:instrText xml:space="preserve"> ADDIN ZOTERO_ITEM CSL_CITATION {"citationID":"R8P7TyOy","properties":{"formattedCitation":"\\super 1,5\\nosupersub{}","plainCitation":"1,5","noteIndex":0},"citationItems":[{"id":31,"uris":["http://zotero.org/users/16177715/items/73JMXG7N"],"itemData":{"id":31,"type":"article-journal","container-title":"The Lancet","DOI":"10.1016/S0140-6736(24)00850-X","ISSN":"0140-6736, 1474-547X","issue":"10441","journalAbbreviation":"The Lancet","language":"English","page":"2307-2316","PMID":"38705159","publisher":"Elsevier","source":"www.thelancet.com","title":"Contribution of vaccination to improved survival and health: modelling 50 years of the Expanded Programme on Immunization","title-short":"Contribution of vaccination to improved survival and health","volume":"403","author":[{"family":"Shattock","given":"Andrew J."},{"family":"Johnson","given":"Helen C."},{"family":"Sim","given":"So Yoon"},{"family":"Carter","given":"Austin"},{"family":"Lambach","given":"Philipp"},{"family":"Hutubessy","given":"Raymond C. W."},{"family":"Thompson","given":"Kimberly M."},{"family":"Badizadegan","given":"Kamran"},{"family":"Lambert","given":"Brian"},{"family":"Ferrari","given":"Matthew J."},{"family":"Jit","given":"Mark"},{"family":"Fu","given":"Han"},{"family":"Silal","given":"Sheetal P."},{"family":"Hounsell","given":"Rachel A."},{"family":"White","given":"Richard G."},{"family":"Mosser","given":"Jonathan F."},{"family":"Gaythorpe","given":"Katy A. M."},{"family":"Trotter","given":"Caroline L."},{"family":"Lindstrand","given":"Ann"},{"family":"O'Brien","given":"Katherine L."},{"family":"Bar-Zeev","given":"Naor"}],"issued":{"date-parts":[["2024",5,25]]}}},{"id":1190,"uris":["http://zotero.org/users/16177715/items/9RVVVBFB"],"itemData":{"id":1190,"type":"article-journal","abstract":"Objective This study estimated the proportion of children aged 12–23 months who were fully vaccinated in sub-Saharan Africa (SSA), explored geographical disparities across subregions and countries, and identified country-level factors associated with full vaccination (FV).Design Cross-sectional study.Setting SSA.Participants Children aged 12–23 months.Primary outcome FV.Methods Data for this study were extracted from the most recent Demographic and Health Survey (DHS) conducted in 34 SSA countries between 2012 and 2023. The study included a total weighted sample of 69 218 children. Univariate analyses were performed to describe the socio-demographic profile of the participants and estimate the proportion of FV and the proportion for each of the eight vaccines (BCG, DTP1, DTP2, DPT3, Polio1, Polio2, Polio3, Measles1) at regional level. Bivariate and spatial analyses were produced to examine existing disparities at regional, subregional and countries’ income levels. A multivariate logistic regression analysis was fitted for identifying country-level factors associated with FV.Results 54.1% (95% CI 53.7% to 54.5%) children aged 12–23 months in SSA were fully vaccinated. In addition, substantial inequalities emerged in FV coverage across countries ranging from 23.9% in Guinea to a high of 95.5% in Rwanda. The same pattern was observed for the eight vaccines. Findings also showed that children of birth order 3 and above, who were delivered at home, had received less than four antenatal visits, from poor households and households with more than 5 members, whose mothers were under 25, had primary education level and below, and had no income-generating activities were less likely to be fully vaccinated.Conclusion To achieve WHO’s global vaccination coverage target of 90% by 2030 in SSA, vaccination programmes must take account of regional, subregional and national inequities. Our findings also underline the need for interventions tailored to each SSA country’s socio-cultural context.Ethical consideration Ethical approval was not required as this is a secondary analysis of publicly available data.","container-title":"BMJ Global Health","DOI":"10.1136/bmjgh-2024-018333","ISSN":"2059-7908","issue":"3","journalAbbreviation":"BMJ Glob Health","language":"en","license":"This is an open access article distributed in accordance with the Creative Commons Attribution Non Commercial (CC BY-NC 4.0) license","PMID":"10.1136/bmjgh-2024-018333","publisher":"BMJ Publishing Group Ltd","source":"gh.bmj.com","title":"Regional, subregional and country-level full vaccination coverage in children aged 12–23 months for 34 countries in sub-Saharan Africa: a global analysis using Demographic and Health Survey data","title-short":"Regional, subregional and country-level full vaccination coverage in children aged 12–23 months for 34 countries in sub-Saharan Africa","URL":"https://gh.bmj.com/content/10/3/e018333","volume":"10","author":[{"family":"Simon","given":"David Jean"},{"family":"Tokpovi","given":"Vénunyé Claude Kondo"},{"family":"Dianou","given":"Kassoum"},{"family":"Okonji","given":"Osaretin Christabel"},{"family":"Kiragu","given":"Ann"},{"family":"Olorunsaiye","given":"Comfort Z."},{"family":"Wayisovia","given":"Emmanuel Juakaly"},{"family":"Ouedraogo","given":"Adama"},{"family":"Ngangue","given":"Patrice"},{"family":"Foba","given":"Habib Tchoubou"},{"family":"Madjou","given":"Serge"}],"accessed":{"date-parts":[["2026",4,8]]},"issued":{"date-parts":[["2025",3,15]]}}}],"schema":"https://github.com/citation-style-language/schema/raw/master/csl-citation.json"} </w:instrText>
      </w:r>
      <w:r w:rsidR="001E2221">
        <w:rPr>
          <w:rFonts w:ascii="Garamond" w:hAnsi="Garamond"/>
          <w:lang w:val="en-US"/>
        </w:rPr>
        <w:fldChar w:fldCharType="separate"/>
      </w:r>
      <w:r w:rsidR="001E2221" w:rsidRPr="001E2221">
        <w:rPr>
          <w:rFonts w:ascii="Garamond" w:hAnsi="Garamond" w:cs="Times New Roman"/>
          <w:kern w:val="0"/>
          <w:vertAlign w:val="superscript"/>
          <w:lang w:val="en-GB"/>
        </w:rPr>
        <w:t>1,5</w:t>
      </w:r>
      <w:r w:rsidR="001E2221">
        <w:rPr>
          <w:rFonts w:ascii="Garamond" w:hAnsi="Garamond"/>
          <w:lang w:val="en-US"/>
        </w:rPr>
        <w:fldChar w:fldCharType="end"/>
      </w:r>
      <w:r w:rsidR="001E2221">
        <w:rPr>
          <w:rFonts w:ascii="Garamond" w:hAnsi="Garamond"/>
          <w:lang w:val="en-US"/>
        </w:rPr>
        <w:t>.</w:t>
      </w:r>
    </w:p>
    <w:p w14:paraId="43C2C52F" w14:textId="77777777" w:rsidR="00324CD5" w:rsidRDefault="00324CD5" w:rsidP="00A4196F">
      <w:pPr>
        <w:rPr>
          <w:rFonts w:ascii="Garamond" w:hAnsi="Garamond"/>
          <w:lang w:val="en-US"/>
        </w:rPr>
      </w:pPr>
    </w:p>
    <w:p w14:paraId="5CB4054E" w14:textId="3C43E63E" w:rsidR="00324CD5" w:rsidRPr="00A4196F" w:rsidRDefault="00324CD5" w:rsidP="00A4196F">
      <w:pPr>
        <w:rPr>
          <w:rFonts w:ascii="Garamond" w:hAnsi="Garamond"/>
          <w:lang w:val="en-US"/>
        </w:rPr>
      </w:pPr>
      <w:r>
        <w:rPr>
          <w:rFonts w:ascii="Garamond" w:hAnsi="Garamond"/>
          <w:lang w:val="en-US"/>
        </w:rPr>
        <w:t xml:space="preserve">Sub-Saharan Africa still </w:t>
      </w:r>
      <w:proofErr w:type="gramStart"/>
      <w:r>
        <w:rPr>
          <w:rFonts w:ascii="Garamond" w:hAnsi="Garamond"/>
          <w:lang w:val="en-US"/>
        </w:rPr>
        <w:t>lags behind</w:t>
      </w:r>
      <w:proofErr w:type="gramEnd"/>
      <w:r>
        <w:rPr>
          <w:rFonts w:ascii="Garamond" w:hAnsi="Garamond"/>
          <w:lang w:val="en-US"/>
        </w:rPr>
        <w:t xml:space="preserve"> other major regions in vaccination efforts, with vaccine coverage often being very low compared to other regions, and consequently disease burden being </w:t>
      </w:r>
      <w:r w:rsidR="001E2221">
        <w:rPr>
          <w:rFonts w:ascii="Garamond" w:hAnsi="Garamond"/>
          <w:lang w:val="en-US"/>
        </w:rPr>
        <w:t>the highest</w:t>
      </w:r>
      <w:r>
        <w:rPr>
          <w:rFonts w:ascii="Garamond" w:hAnsi="Garamond"/>
          <w:lang w:val="en-US"/>
        </w:rPr>
        <w:t>.</w:t>
      </w:r>
      <w:r w:rsidR="002A0A67">
        <w:rPr>
          <w:rFonts w:ascii="Garamond" w:hAnsi="Garamond"/>
          <w:lang w:val="en-US"/>
        </w:rPr>
        <w:t xml:space="preserve"> Eradication and elimination efforts in the region are often hampered by under-vaccination often due to poor surveillance, delays due logistical issues, healthcare system weaknesses and political instabilities</w:t>
      </w:r>
      <w:r w:rsidR="002A0A67">
        <w:rPr>
          <w:rFonts w:ascii="Garamond" w:hAnsi="Garamond"/>
          <w:lang w:val="en-US"/>
        </w:rPr>
        <w:fldChar w:fldCharType="begin"/>
      </w:r>
      <w:r w:rsidR="002A0A67">
        <w:rPr>
          <w:rFonts w:ascii="Garamond" w:hAnsi="Garamond"/>
          <w:lang w:val="en-US"/>
        </w:rPr>
        <w:instrText xml:space="preserve"> ADDIN ZOTERO_ITEM CSL_CITATION {"citationID":"49pdtymT","properties":{"formattedCitation":"\\super 5\\nosupersub{}","plainCitation":"5","noteIndex":0},"citationItems":[{"id":1190,"uris":["http://zotero.org/users/16177715/items/9RVVVBFB"],"itemData":{"id":1190,"type":"article-journal","abstract":"Objective This study estimated the proportion of children aged 12–23 months who were fully vaccinated in sub-Saharan Africa (SSA), explored geographical disparities across subregions and countries, and identified country-level factors associated with full vaccination (FV).Design Cross-sectional study.Setting SSA.Participants Children aged 12–23 months.Primary outcome FV.Methods Data for this study were extracted from the most recent Demographic and Health Survey (DHS) conducted in 34 SSA countries between 2012 and 2023. The study included a total weighted sample of 69 218 children. Univariate analyses were performed to describe the socio-demographic profile of the participants and estimate the proportion of FV and the proportion for each of the eight vaccines (BCG, DTP1, DTP2, DPT3, Polio1, Polio2, Polio3, Measles1) at regional level. Bivariate and spatial analyses were produced to examine existing disparities at regional, subregional and countries’ income levels. A multivariate logistic regression analysis was fitted for identifying country-level factors associated with FV.Results 54.1% (95% CI 53.7% to 54.5%) children aged 12–23 months in SSA were fully vaccinated. In addition, substantial inequalities emerged in FV coverage across countries ranging from 23.9% in Guinea to a high of 95.5% in Rwanda. The same pattern was observed for the eight vaccines. Findings also showed that children of birth order 3 and above, who were delivered at home, had received less than four antenatal visits, from poor households and households with more than 5 members, whose mothers were under 25, had primary education level and below, and had no income-generating activities were less likely to be fully vaccinated.Conclusion To achieve WHO’s global vaccination coverage target of 90% by 2030 in SSA, vaccination programmes must take account of regional, subregional and national inequities. Our findings also underline the need for interventions tailored to each SSA country’s socio-cultural context.Ethical consideration Ethical approval was not required as this is a secondary analysis of publicly available data.","container-title":"BMJ Global Health","DOI":"10.1136/bmjgh-2024-018333","ISSN":"2059-7908","issue":"3","journalAbbreviation":"BMJ Glob Health","language":"en","license":"This is an open access article distributed in accordance with the Creative Commons Attribution Non Commercial (CC BY-NC 4.0) license","PMID":"10.1136/bmjgh-2024-018333","publisher":"BMJ Publishing Group Ltd","source":"gh.bmj.com","title":"Regional, subregional and country-level full vaccination coverage in children aged 12–23 months for 34 countries in sub-Saharan Africa: a global analysis using Demographic and Health Survey data","title-short":"Regional, subregional and country-level full vaccination coverage in children aged 12–23 months for 34 countries in sub-Saharan Africa","URL":"https://gh.bmj.com/content/10/3/e018333","volume":"10","author":[{"family":"Simon","given":"David Jean"},{"family":"Tokpovi","given":"Vénunyé Claude Kondo"},{"family":"Dianou","given":"Kassoum"},{"family":"Okonji","given":"Osaretin Christabel"},{"family":"Kiragu","given":"Ann"},{"family":"Olorunsaiye","given":"Comfort Z."},{"family":"Wayisovia","given":"Emmanuel Juakaly"},{"family":"Ouedraogo","given":"Adama"},{"family":"Ngangue","given":"Patrice"},{"family":"Foba","given":"Habib Tchoubou"},{"family":"Madjou","given":"Serge"}],"accessed":{"date-parts":[["2026",4,8]]},"issued":{"date-parts":[["2025",3,15]]}}}],"schema":"https://github.com/citation-style-language/schema/raw/master/csl-citation.json"} </w:instrText>
      </w:r>
      <w:r w:rsidR="002A0A67">
        <w:rPr>
          <w:rFonts w:ascii="Garamond" w:hAnsi="Garamond"/>
          <w:lang w:val="en-US"/>
        </w:rPr>
        <w:fldChar w:fldCharType="separate"/>
      </w:r>
      <w:r w:rsidR="002A0A67" w:rsidRPr="002A0A67">
        <w:rPr>
          <w:rFonts w:ascii="Garamond" w:hAnsi="Garamond" w:cs="Times New Roman"/>
          <w:kern w:val="0"/>
          <w:vertAlign w:val="superscript"/>
          <w:lang w:val="en-GB"/>
        </w:rPr>
        <w:t>5</w:t>
      </w:r>
      <w:r w:rsidR="002A0A67">
        <w:rPr>
          <w:rFonts w:ascii="Garamond" w:hAnsi="Garamond"/>
          <w:lang w:val="en-US"/>
        </w:rPr>
        <w:fldChar w:fldCharType="end"/>
      </w:r>
      <w:r w:rsidR="002A0A67">
        <w:rPr>
          <w:rFonts w:ascii="Garamond" w:hAnsi="Garamond"/>
          <w:lang w:val="en-US"/>
        </w:rPr>
        <w:t>.</w:t>
      </w:r>
    </w:p>
    <w:sectPr w:rsidR="00324CD5" w:rsidRPr="00A419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73E15"/>
    <w:multiLevelType w:val="hybridMultilevel"/>
    <w:tmpl w:val="9A9A75B2"/>
    <w:lvl w:ilvl="0" w:tplc="2DC43CD8">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5166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96F"/>
    <w:rsid w:val="001E2221"/>
    <w:rsid w:val="002A0A67"/>
    <w:rsid w:val="00324CD5"/>
    <w:rsid w:val="003C1B27"/>
    <w:rsid w:val="00555FA5"/>
    <w:rsid w:val="00775E21"/>
    <w:rsid w:val="0078430D"/>
    <w:rsid w:val="008124E4"/>
    <w:rsid w:val="00A4196F"/>
    <w:rsid w:val="00B53B1D"/>
    <w:rsid w:val="00C42DCD"/>
    <w:rsid w:val="00EC22C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23210899"/>
  <w15:chartTrackingRefBased/>
  <w15:docId w15:val="{0E7E2F01-C826-6E44-9B21-8A4ABAFD2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9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9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9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9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96F"/>
    <w:rPr>
      <w:rFonts w:eastAsiaTheme="majorEastAsia" w:cstheme="majorBidi"/>
      <w:color w:val="272727" w:themeColor="text1" w:themeTint="D8"/>
    </w:rPr>
  </w:style>
  <w:style w:type="paragraph" w:styleId="Title">
    <w:name w:val="Title"/>
    <w:basedOn w:val="Normal"/>
    <w:next w:val="Normal"/>
    <w:link w:val="TitleChar"/>
    <w:uiPriority w:val="10"/>
    <w:qFormat/>
    <w:rsid w:val="00A419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96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9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196F"/>
    <w:rPr>
      <w:i/>
      <w:iCs/>
      <w:color w:val="404040" w:themeColor="text1" w:themeTint="BF"/>
    </w:rPr>
  </w:style>
  <w:style w:type="paragraph" w:styleId="ListParagraph">
    <w:name w:val="List Paragraph"/>
    <w:basedOn w:val="Normal"/>
    <w:uiPriority w:val="34"/>
    <w:qFormat/>
    <w:rsid w:val="00A4196F"/>
    <w:pPr>
      <w:ind w:left="720"/>
      <w:contextualSpacing/>
    </w:pPr>
  </w:style>
  <w:style w:type="character" w:styleId="IntenseEmphasis">
    <w:name w:val="Intense Emphasis"/>
    <w:basedOn w:val="DefaultParagraphFont"/>
    <w:uiPriority w:val="21"/>
    <w:qFormat/>
    <w:rsid w:val="00A4196F"/>
    <w:rPr>
      <w:i/>
      <w:iCs/>
      <w:color w:val="0F4761" w:themeColor="accent1" w:themeShade="BF"/>
    </w:rPr>
  </w:style>
  <w:style w:type="paragraph" w:styleId="IntenseQuote">
    <w:name w:val="Intense Quote"/>
    <w:basedOn w:val="Normal"/>
    <w:next w:val="Normal"/>
    <w:link w:val="IntenseQuoteChar"/>
    <w:uiPriority w:val="30"/>
    <w:qFormat/>
    <w:rsid w:val="00A41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96F"/>
    <w:rPr>
      <w:i/>
      <w:iCs/>
      <w:color w:val="0F4761" w:themeColor="accent1" w:themeShade="BF"/>
    </w:rPr>
  </w:style>
  <w:style w:type="character" w:styleId="IntenseReference">
    <w:name w:val="Intense Reference"/>
    <w:basedOn w:val="DefaultParagraphFont"/>
    <w:uiPriority w:val="32"/>
    <w:qFormat/>
    <w:rsid w:val="00A419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170</Words>
  <Characters>1027</Characters>
  <Application>Microsoft Office Word</Application>
  <DocSecurity>0</DocSecurity>
  <Lines>15</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Saitet</dc:creator>
  <cp:keywords/>
  <dc:description/>
  <cp:lastModifiedBy>Stanley Saitet</cp:lastModifiedBy>
  <cp:revision>1</cp:revision>
  <dcterms:created xsi:type="dcterms:W3CDTF">2026-04-08T10:33:00Z</dcterms:created>
  <dcterms:modified xsi:type="dcterms:W3CDTF">2026-04-12T11:21:00Z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id="V0JIJOxR"/&gt;&lt;style id="http://www.zotero.org/styles/nature" hasBibliography="1" bibliographyStyleHasBeenSet="0"/&gt;&lt;prefs&gt;&lt;pref name="fieldType" value="Field"/&gt;&lt;pref name="automaticJournalAbbreviati</vt:lpwstr>
  </property>
  <property fmtid="{D5CDD505-2E9C-101B-9397-08002B2CF9AE}" pid="3" name="ZOTERO_PREF_2">
    <vt:lpwstr>ons" value="true"/&gt;&lt;/prefs&gt;&lt;/data&gt;</vt:lpwstr>
  </property>
</Properties>
</file>