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22BB" w14:textId="3006D3DE" w:rsidR="008A55B5" w:rsidRPr="00221A4A" w:rsidRDefault="00221A4A">
      <w:pPr>
        <w:pStyle w:val="papertitle"/>
        <w:rPr>
          <w:lang w:eastAsia="zh-TW"/>
        </w:rPr>
      </w:pPr>
      <w:r>
        <w:rPr>
          <w:rFonts w:hint="eastAsia"/>
          <w:lang w:eastAsia="zh-TW"/>
        </w:rPr>
        <w:t xml:space="preserve">HW </w:t>
      </w:r>
      <w:r w:rsidR="00EF3F84">
        <w:rPr>
          <w:rFonts w:hint="eastAsia"/>
          <w:lang w:eastAsia="zh-TW"/>
        </w:rPr>
        <w:t>2</w:t>
      </w:r>
      <w:r>
        <w:rPr>
          <w:rFonts w:hint="eastAsia"/>
          <w:lang w:eastAsia="zh-TW"/>
        </w:rPr>
        <w:t xml:space="preserve"> </w:t>
      </w:r>
      <w:r>
        <w:rPr>
          <w:lang w:eastAsia="zh-TW"/>
        </w:rPr>
        <w:t>–</w:t>
      </w:r>
      <w:r>
        <w:rPr>
          <w:rFonts w:hint="eastAsia"/>
          <w:lang w:eastAsia="zh-TW"/>
        </w:rPr>
        <w:t xml:space="preserve"> </w:t>
      </w:r>
      <w:r w:rsidR="00DA441B">
        <w:rPr>
          <w:rFonts w:hint="eastAsia"/>
          <w:lang w:eastAsia="zh-TW"/>
        </w:rPr>
        <w:t>Return Address Predictor</w:t>
      </w:r>
    </w:p>
    <w:p w14:paraId="052945D7" w14:textId="70200107" w:rsidR="008A55B5" w:rsidRPr="00096011" w:rsidRDefault="00221A4A">
      <w:pPr>
        <w:rPr>
          <w:lang w:eastAsia="zh-TW"/>
        </w:rPr>
      </w:pPr>
      <w:r>
        <w:rPr>
          <w:rFonts w:hint="eastAsia"/>
          <w:lang w:eastAsia="zh-TW"/>
        </w:rPr>
        <w:t>沈昱宏</w:t>
      </w:r>
      <w:r w:rsidR="00042570">
        <w:rPr>
          <w:rFonts w:hint="eastAsia"/>
          <w:lang w:eastAsia="zh-TW"/>
        </w:rPr>
        <w:t xml:space="preserve">, </w:t>
      </w:r>
      <w:r>
        <w:rPr>
          <w:rFonts w:hint="eastAsia"/>
          <w:lang w:eastAsia="zh-TW"/>
        </w:rPr>
        <w:t>110705013</w:t>
      </w:r>
      <w:r w:rsidR="00096011">
        <w:rPr>
          <w:lang w:eastAsia="zh-TW"/>
        </w:rPr>
        <w:br/>
      </w:r>
    </w:p>
    <w:p w14:paraId="1B68FDC8" w14:textId="77777777"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14:paraId="25DCAFBC" w14:textId="77777777" w:rsidR="008A55B5" w:rsidRPr="00096011" w:rsidRDefault="008A55B5" w:rsidP="00096011">
      <w:pPr>
        <w:pStyle w:val="Affiliation"/>
        <w:jc w:val="both"/>
        <w:rPr>
          <w:lang w:eastAsia="zh-TW"/>
        </w:rPr>
      </w:pPr>
    </w:p>
    <w:p w14:paraId="1E4E7D1D" w14:textId="77777777" w:rsidR="008A55B5" w:rsidRPr="0030305C" w:rsidRDefault="008A55B5" w:rsidP="0030305C">
      <w:pPr>
        <w:jc w:val="both"/>
        <w:rPr>
          <w:lang w:eastAsia="zh-TW"/>
        </w:rPr>
      </w:pPr>
    </w:p>
    <w:p w14:paraId="442295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D7ED3E" w14:textId="513BB9E6" w:rsidR="008A55B5" w:rsidRPr="009A2D73" w:rsidRDefault="008A55B5">
      <w:pPr>
        <w:pStyle w:val="Abstract"/>
        <w:rPr>
          <w:rFonts w:eastAsia="MS Mincho"/>
          <w:lang w:eastAsia="zh-TW"/>
        </w:rPr>
      </w:pPr>
      <w:r>
        <w:rPr>
          <w:rFonts w:eastAsia="MS Mincho"/>
          <w:i/>
          <w:iCs/>
        </w:rPr>
        <w:t>Abstract</w:t>
      </w:r>
      <w:r>
        <w:rPr>
          <w:rFonts w:eastAsia="MS Mincho"/>
        </w:rPr>
        <w:t>—</w:t>
      </w:r>
      <w:r w:rsidR="00221A4A">
        <w:rPr>
          <w:rFonts w:hint="eastAsia"/>
          <w:lang w:eastAsia="zh-TW"/>
        </w:rPr>
        <w:t>In t</w:t>
      </w:r>
      <w:r w:rsidR="0097508D" w:rsidRPr="0097508D">
        <w:t xml:space="preserve">his </w:t>
      </w:r>
      <w:r w:rsidR="00221A4A">
        <w:rPr>
          <w:rFonts w:hint="eastAsia"/>
          <w:lang w:eastAsia="zh-TW"/>
        </w:rPr>
        <w:t xml:space="preserve">homework assignment, </w:t>
      </w:r>
      <w:r w:rsidR="009A2D73">
        <w:rPr>
          <w:rFonts w:hint="eastAsia"/>
          <w:lang w:eastAsia="zh-TW"/>
        </w:rPr>
        <w:t xml:space="preserve">I </w:t>
      </w:r>
      <w:r w:rsidR="00DA441B" w:rsidRPr="00DA441B">
        <w:rPr>
          <w:lang w:eastAsia="zh-TW"/>
        </w:rPr>
        <w:t xml:space="preserve">analyze the branch prediction unit (BPU) in the Aquila RISC-V core and its effects on CoreMark benchmark performance. </w:t>
      </w:r>
      <w:r w:rsidR="00DA441B">
        <w:rPr>
          <w:rFonts w:hint="eastAsia"/>
          <w:lang w:eastAsia="zh-TW"/>
        </w:rPr>
        <w:t>I</w:t>
      </w:r>
      <w:r w:rsidR="00DA441B" w:rsidRPr="00DA441B">
        <w:rPr>
          <w:lang w:eastAsia="zh-TW"/>
        </w:rPr>
        <w:t xml:space="preserve"> explore</w:t>
      </w:r>
      <w:r w:rsidR="00DA441B">
        <w:rPr>
          <w:rFonts w:hint="eastAsia"/>
          <w:lang w:eastAsia="zh-TW"/>
        </w:rPr>
        <w:t>d</w:t>
      </w:r>
      <w:r w:rsidR="00DA441B" w:rsidRPr="00DA441B">
        <w:rPr>
          <w:lang w:eastAsia="zh-TW"/>
        </w:rPr>
        <w:t xml:space="preserve"> the impact of disabling the BPU and modifying the Branch History Table (BHT) size, examining changes in CoreMark scores. Additionally, branch prediction statistics, such as hit and miss rates for different branch types, are evaluated. Finally, a return address prediction architecture is </w:t>
      </w:r>
      <w:r w:rsidR="006322FB">
        <w:rPr>
          <w:rFonts w:hint="eastAsia"/>
          <w:lang w:eastAsia="zh-TW"/>
        </w:rPr>
        <w:t>implemented to reduce stall cycles</w:t>
      </w:r>
      <w:r w:rsidR="00DA441B" w:rsidRPr="00DA441B">
        <w:rPr>
          <w:lang w:eastAsia="zh-TW"/>
        </w:rPr>
        <w:t>.</w:t>
      </w:r>
      <w:r w:rsidR="004967A6" w:rsidRPr="004967A6">
        <w:rPr>
          <w:lang w:eastAsia="zh-TW"/>
        </w:rPr>
        <w:t xml:space="preserve"> </w:t>
      </w:r>
    </w:p>
    <w:p w14:paraId="5FB56573" w14:textId="15357391" w:rsidR="008A55B5" w:rsidRPr="004967A6" w:rsidRDefault="0072064C">
      <w:pPr>
        <w:pStyle w:val="keywords"/>
        <w:rPr>
          <w:lang w:eastAsia="zh-TW"/>
        </w:rPr>
      </w:pPr>
      <w:r>
        <w:rPr>
          <w:rFonts w:eastAsia="MS Mincho"/>
        </w:rPr>
        <w:t>Keywords—</w:t>
      </w:r>
      <w:r w:rsidR="004967A6">
        <w:rPr>
          <w:rFonts w:hint="eastAsia"/>
          <w:lang w:eastAsia="zh-TW"/>
        </w:rPr>
        <w:t xml:space="preserve">Aquila, </w:t>
      </w:r>
      <w:r w:rsidR="00E77587">
        <w:rPr>
          <w:rFonts w:hint="eastAsia"/>
          <w:lang w:eastAsia="zh-TW"/>
        </w:rPr>
        <w:t>CoreMark,</w:t>
      </w:r>
      <w:r w:rsidR="00E77587" w:rsidRPr="00E77587">
        <w:rPr>
          <w:rFonts w:hint="eastAsia"/>
          <w:lang w:eastAsia="zh-TW"/>
        </w:rPr>
        <w:t xml:space="preserve"> </w:t>
      </w:r>
      <w:r w:rsidR="00AE2E50">
        <w:rPr>
          <w:rFonts w:hint="eastAsia"/>
          <w:lang w:eastAsia="zh-TW"/>
        </w:rPr>
        <w:t>BPU</w:t>
      </w:r>
    </w:p>
    <w:p w14:paraId="4D01C56B" w14:textId="29A58158" w:rsidR="008A55B5" w:rsidRDefault="0044388E">
      <w:pPr>
        <w:pStyle w:val="1"/>
        <w:rPr>
          <w:rFonts w:eastAsia="MS Mincho"/>
        </w:rPr>
      </w:pPr>
      <w:r>
        <w:rPr>
          <w:rFonts w:eastAsia="MS Mincho"/>
        </w:rPr>
        <w:t xml:space="preserve"> </w:t>
      </w:r>
      <w:r w:rsidR="00E959AA">
        <w:rPr>
          <w:rFonts w:hint="eastAsia"/>
          <w:lang w:eastAsia="zh-TW"/>
        </w:rPr>
        <w:t>Disable BPU</w:t>
      </w:r>
    </w:p>
    <w:p w14:paraId="2D99B28F" w14:textId="3B832E8D" w:rsidR="00D25FB3" w:rsidRDefault="00D25FB3" w:rsidP="00D25FB3">
      <w:pPr>
        <w:pStyle w:val="2"/>
        <w:rPr>
          <w:lang w:eastAsia="zh-TW"/>
        </w:rPr>
      </w:pPr>
      <w:r>
        <w:rPr>
          <w:rFonts w:eastAsiaTheme="minorEastAsia" w:hint="eastAsia"/>
          <w:lang w:eastAsia="zh-TW"/>
        </w:rPr>
        <w:t>Disabling BPU</w:t>
      </w:r>
    </w:p>
    <w:p w14:paraId="57FF6F23" w14:textId="525F5055" w:rsidR="008A55B5" w:rsidRDefault="00E959AA" w:rsidP="00753F7B">
      <w:pPr>
        <w:pStyle w:val="a3"/>
        <w:rPr>
          <w:rFonts w:eastAsiaTheme="minorEastAsia"/>
          <w:lang w:eastAsia="zh-TW"/>
        </w:rPr>
      </w:pPr>
      <w:r>
        <w:rPr>
          <w:rFonts w:eastAsiaTheme="minorEastAsia" w:hint="eastAsia"/>
          <w:lang w:eastAsia="zh-TW"/>
        </w:rPr>
        <w:t>I disabled the BPU by fixing the branch_hit_o (the output signal of BPU) to 0</w:t>
      </w:r>
      <w:r w:rsidR="00E77587" w:rsidRPr="00E77587">
        <w:t>.</w:t>
      </w:r>
      <w:r>
        <w:rPr>
          <w:rFonts w:eastAsiaTheme="minorEastAsia" w:hint="eastAsia"/>
          <w:lang w:eastAsia="zh-TW"/>
        </w:rPr>
        <w:t xml:space="preserve"> Before disabling the BPU, the total cycle count </w:t>
      </w:r>
      <w:r w:rsidR="002D6829">
        <w:rPr>
          <w:rFonts w:eastAsiaTheme="minorEastAsia"/>
          <w:lang w:eastAsia="zh-TW"/>
        </w:rPr>
        <w:t>was</w:t>
      </w:r>
      <w:r>
        <w:rPr>
          <w:rFonts w:eastAsiaTheme="minorEastAsia" w:hint="eastAsia"/>
          <w:lang w:eastAsia="zh-TW"/>
        </w:rPr>
        <w:t xml:space="preserve"> 2558316</w:t>
      </w:r>
      <w:r>
        <w:rPr>
          <w:rFonts w:eastAsiaTheme="minorEastAsia"/>
          <w:lang w:eastAsia="zh-TW"/>
        </w:rPr>
        <w:t>,</w:t>
      </w:r>
      <w:r>
        <w:rPr>
          <w:rFonts w:eastAsiaTheme="minorEastAsia" w:hint="eastAsia"/>
          <w:lang w:eastAsia="zh-TW"/>
        </w:rPr>
        <w:t xml:space="preserve"> and after disabling the BPU, the total cycle count increased to 2887697, showing a 12% increase in execution time.</w:t>
      </w:r>
    </w:p>
    <w:p w14:paraId="66B86352" w14:textId="549C104A" w:rsidR="00D25FB3" w:rsidRDefault="00D25FB3" w:rsidP="00D25FB3">
      <w:pPr>
        <w:pStyle w:val="2"/>
        <w:rPr>
          <w:rFonts w:eastAsiaTheme="minorEastAsia"/>
          <w:lang w:eastAsia="zh-TW"/>
        </w:rPr>
      </w:pPr>
      <w:r>
        <w:rPr>
          <w:rFonts w:eastAsiaTheme="minorEastAsia" w:hint="eastAsia"/>
          <w:lang w:eastAsia="zh-TW"/>
        </w:rPr>
        <w:t>Changing Entry Num</w:t>
      </w:r>
    </w:p>
    <w:p w14:paraId="16F8A933" w14:textId="1BDCDDA3" w:rsidR="00D25FB3" w:rsidRDefault="00D25FB3" w:rsidP="00CB1FC8">
      <w:pPr>
        <w:ind w:firstLineChars="142" w:firstLine="284"/>
        <w:jc w:val="both"/>
        <w:rPr>
          <w:lang w:eastAsia="zh-TW"/>
        </w:rPr>
      </w:pPr>
      <w:r>
        <w:rPr>
          <w:rFonts w:hint="eastAsia"/>
          <w:lang w:eastAsia="zh-TW"/>
        </w:rPr>
        <w:t xml:space="preserve">I changed the EntryNum from 64 to 256. The result shows that the total cycle count </w:t>
      </w:r>
      <w:r w:rsidR="00CB1FC8">
        <w:rPr>
          <w:rFonts w:hint="eastAsia"/>
          <w:lang w:eastAsia="zh-TW"/>
        </w:rPr>
        <w:t xml:space="preserve">further </w:t>
      </w:r>
      <w:r w:rsidR="00CB1FC8">
        <w:rPr>
          <w:lang w:eastAsia="zh-TW"/>
        </w:rPr>
        <w:t>reduced</w:t>
      </w:r>
      <w:r>
        <w:rPr>
          <w:rFonts w:hint="eastAsia"/>
          <w:lang w:eastAsia="zh-TW"/>
        </w:rPr>
        <w:t xml:space="preserve"> to 2547614</w:t>
      </w:r>
      <w:r w:rsidR="002F2463">
        <w:rPr>
          <w:rFonts w:hint="eastAsia"/>
          <w:lang w:eastAsia="zh-TW"/>
        </w:rPr>
        <w:t>, which means that using more memory did help the total cycle count to reduce.</w:t>
      </w:r>
    </w:p>
    <w:p w14:paraId="7D5786AD" w14:textId="59DB51E6" w:rsidR="008A55B5" w:rsidRDefault="00DD0694">
      <w:pPr>
        <w:pStyle w:val="1"/>
        <w:rPr>
          <w:lang w:eastAsia="zh-TW"/>
        </w:rPr>
      </w:pPr>
      <w:r>
        <w:rPr>
          <w:rFonts w:hint="eastAsia"/>
          <w:lang w:eastAsia="zh-TW"/>
        </w:rPr>
        <w:t>Brahch Statistics</w:t>
      </w:r>
    </w:p>
    <w:p w14:paraId="7AA067E7" w14:textId="224EFFF3" w:rsidR="0030305C" w:rsidRDefault="0030305C" w:rsidP="0030305C">
      <w:pPr>
        <w:pStyle w:val="2"/>
        <w:rPr>
          <w:rFonts w:eastAsiaTheme="minorEastAsia"/>
          <w:lang w:eastAsia="zh-TW"/>
        </w:rPr>
      </w:pPr>
      <w:r>
        <w:rPr>
          <w:rFonts w:eastAsiaTheme="minorEastAsia" w:hint="eastAsia"/>
          <w:lang w:eastAsia="zh-TW"/>
        </w:rPr>
        <w:t>Statistics</w:t>
      </w:r>
    </w:p>
    <w:p w14:paraId="255636C4" w14:textId="629E7C2A" w:rsidR="0030305C" w:rsidRDefault="0030305C" w:rsidP="0030305C">
      <w:pPr>
        <w:ind w:firstLineChars="142" w:firstLine="284"/>
        <w:jc w:val="left"/>
        <w:rPr>
          <w:lang w:eastAsia="zh-TW"/>
        </w:rPr>
      </w:pPr>
      <w:r>
        <w:rPr>
          <w:rFonts w:hint="eastAsia"/>
          <w:lang w:eastAsia="zh-TW"/>
        </w:rPr>
        <w:t xml:space="preserve">I count the total number on hit and miss of different functions under the original setting.  The hit rate is calculated by number of </w:t>
      </w:r>
      <w:proofErr w:type="gramStart"/>
      <w:r>
        <w:rPr>
          <w:rFonts w:hint="eastAsia"/>
          <w:lang w:eastAsia="zh-TW"/>
        </w:rPr>
        <w:t>hit</w:t>
      </w:r>
      <w:proofErr w:type="gramEnd"/>
      <w:r>
        <w:rPr>
          <w:rFonts w:hint="eastAsia"/>
          <w:lang w:eastAsia="zh-TW"/>
        </w:rPr>
        <w:t xml:space="preserve"> / total amount. </w:t>
      </w:r>
      <w:r>
        <w:rPr>
          <w:lang w:eastAsia="zh-TW"/>
        </w:rPr>
        <w:t>T</w:t>
      </w:r>
      <w:r>
        <w:rPr>
          <w:rFonts w:hint="eastAsia"/>
          <w:lang w:eastAsia="zh-TW"/>
        </w:rPr>
        <w:t>he result shows that using a 4x memory can improve hit rate. Since the jal command is not often, the BHT is more likely to store address of branch commands, causing a lower hit rate.</w:t>
      </w:r>
    </w:p>
    <w:p w14:paraId="6CDE9F1F" w14:textId="77777777" w:rsidR="0030305C" w:rsidRPr="00617773" w:rsidRDefault="0030305C" w:rsidP="0030305C">
      <w:pPr>
        <w:pStyle w:val="tablehead"/>
        <w:rPr>
          <w:rFonts w:eastAsia="MS Mincho"/>
          <w:noProof w:val="0"/>
          <w:spacing w:val="-1"/>
        </w:rPr>
      </w:pPr>
      <w:r>
        <w:rPr>
          <w:rFonts w:hint="eastAsia"/>
          <w:lang w:eastAsia="zh-TW"/>
        </w:rPr>
        <w:t>Statistics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242"/>
        <w:gridCol w:w="707"/>
        <w:gridCol w:w="1101"/>
        <w:gridCol w:w="1102"/>
        <w:gridCol w:w="1104"/>
      </w:tblGrid>
      <w:tr w:rsidR="0030305C" w:rsidRPr="0004390D" w14:paraId="5D093C37" w14:textId="77777777" w:rsidTr="00F34C9C">
        <w:trPr>
          <w:cantSplit/>
          <w:trHeight w:val="240"/>
          <w:tblHeader/>
          <w:jc w:val="center"/>
        </w:trPr>
        <w:tc>
          <w:tcPr>
            <w:tcW w:w="1854" w:type="pct"/>
            <w:gridSpan w:val="2"/>
            <w:vMerge w:val="restart"/>
            <w:vAlign w:val="center"/>
          </w:tcPr>
          <w:p w14:paraId="338B5CB4" w14:textId="77777777" w:rsidR="0030305C" w:rsidRPr="0004390D" w:rsidRDefault="0030305C" w:rsidP="00F34C9C">
            <w:pPr>
              <w:pStyle w:val="tablecolhead"/>
              <w:rPr>
                <w:lang w:eastAsia="zh-TW"/>
              </w:rPr>
            </w:pPr>
            <w:r>
              <w:rPr>
                <w:rFonts w:hint="eastAsia"/>
                <w:lang w:eastAsia="zh-TW"/>
              </w:rPr>
              <w:t>Function</w:t>
            </w:r>
          </w:p>
        </w:tc>
        <w:tc>
          <w:tcPr>
            <w:tcW w:w="3146" w:type="pct"/>
            <w:gridSpan w:val="3"/>
          </w:tcPr>
          <w:p w14:paraId="0470235C" w14:textId="77777777" w:rsidR="0030305C" w:rsidRDefault="0030305C" w:rsidP="00F34C9C">
            <w:pPr>
              <w:pStyle w:val="tablecolhead"/>
              <w:rPr>
                <w:lang w:eastAsia="zh-TW"/>
              </w:rPr>
            </w:pPr>
            <w:r>
              <w:rPr>
                <w:rFonts w:hint="eastAsia"/>
                <w:lang w:eastAsia="zh-TW"/>
              </w:rPr>
              <w:t>Metric</w:t>
            </w:r>
          </w:p>
        </w:tc>
      </w:tr>
      <w:tr w:rsidR="0030305C" w:rsidRPr="0004390D" w14:paraId="51A8EB8C" w14:textId="77777777" w:rsidTr="00F34C9C">
        <w:trPr>
          <w:cantSplit/>
          <w:trHeight w:val="240"/>
          <w:tblHeader/>
          <w:jc w:val="center"/>
        </w:trPr>
        <w:tc>
          <w:tcPr>
            <w:tcW w:w="1854" w:type="pct"/>
            <w:gridSpan w:val="2"/>
            <w:vMerge/>
          </w:tcPr>
          <w:p w14:paraId="4657E1DF" w14:textId="77777777" w:rsidR="0030305C" w:rsidRPr="0004390D" w:rsidRDefault="0030305C" w:rsidP="00F34C9C">
            <w:pPr>
              <w:rPr>
                <w:sz w:val="16"/>
                <w:szCs w:val="16"/>
              </w:rPr>
            </w:pPr>
          </w:p>
        </w:tc>
        <w:tc>
          <w:tcPr>
            <w:tcW w:w="1047" w:type="pct"/>
            <w:vAlign w:val="center"/>
          </w:tcPr>
          <w:p w14:paraId="34810453" w14:textId="77777777" w:rsidR="0030305C" w:rsidRPr="0004390D" w:rsidRDefault="0030305C" w:rsidP="00F34C9C">
            <w:pPr>
              <w:pStyle w:val="tablecolsubhead"/>
              <w:rPr>
                <w:lang w:eastAsia="zh-TW"/>
              </w:rPr>
            </w:pPr>
            <w:r>
              <w:rPr>
                <w:rFonts w:hint="eastAsia"/>
                <w:lang w:eastAsia="zh-TW"/>
              </w:rPr>
              <w:t>Hit</w:t>
            </w:r>
          </w:p>
        </w:tc>
        <w:tc>
          <w:tcPr>
            <w:tcW w:w="1048" w:type="pct"/>
            <w:vAlign w:val="center"/>
          </w:tcPr>
          <w:p w14:paraId="548FB599" w14:textId="77777777" w:rsidR="0030305C" w:rsidRDefault="0030305C" w:rsidP="00F34C9C">
            <w:pPr>
              <w:pStyle w:val="tablecolsubhead"/>
              <w:rPr>
                <w:lang w:eastAsia="zh-TW"/>
              </w:rPr>
            </w:pPr>
            <w:r>
              <w:rPr>
                <w:rFonts w:hint="eastAsia"/>
                <w:lang w:eastAsia="zh-TW"/>
              </w:rPr>
              <w:t>Miss</w:t>
            </w:r>
          </w:p>
        </w:tc>
        <w:tc>
          <w:tcPr>
            <w:tcW w:w="1050" w:type="pct"/>
            <w:vAlign w:val="center"/>
          </w:tcPr>
          <w:p w14:paraId="2836996E" w14:textId="77777777" w:rsidR="0030305C" w:rsidRDefault="0030305C" w:rsidP="00F34C9C">
            <w:pPr>
              <w:pStyle w:val="tablecolsubhead"/>
              <w:rPr>
                <w:lang w:eastAsia="zh-TW"/>
              </w:rPr>
            </w:pPr>
            <w:r>
              <w:rPr>
                <w:rFonts w:hint="eastAsia"/>
                <w:lang w:eastAsia="zh-TW"/>
              </w:rPr>
              <w:t>Hit Rate</w:t>
            </w:r>
          </w:p>
        </w:tc>
      </w:tr>
      <w:tr w:rsidR="0030305C" w:rsidRPr="0004390D" w14:paraId="0B6907D0" w14:textId="77777777" w:rsidTr="00F34C9C">
        <w:trPr>
          <w:trHeight w:val="320"/>
          <w:jc w:val="center"/>
        </w:trPr>
        <w:tc>
          <w:tcPr>
            <w:tcW w:w="1182" w:type="pct"/>
            <w:vMerge w:val="restart"/>
            <w:vAlign w:val="center"/>
          </w:tcPr>
          <w:p w14:paraId="58614ADA" w14:textId="77777777" w:rsidR="0030305C" w:rsidRDefault="0030305C" w:rsidP="00F34C9C">
            <w:pPr>
              <w:pStyle w:val="tablecolsubhead"/>
              <w:rPr>
                <w:b w:val="0"/>
                <w:bCs w:val="0"/>
                <w:i w:val="0"/>
                <w:iCs w:val="0"/>
                <w:lang w:eastAsia="zh-TW"/>
              </w:rPr>
            </w:pPr>
            <w:r>
              <w:rPr>
                <w:rFonts w:hint="eastAsia"/>
                <w:b w:val="0"/>
                <w:bCs w:val="0"/>
                <w:i w:val="0"/>
                <w:iCs w:val="0"/>
                <w:lang w:eastAsia="zh-TW"/>
              </w:rPr>
              <w:t>EntryNum = 64</w:t>
            </w:r>
          </w:p>
        </w:tc>
        <w:tc>
          <w:tcPr>
            <w:tcW w:w="673" w:type="pct"/>
            <w:vAlign w:val="center"/>
          </w:tcPr>
          <w:p w14:paraId="278163BD" w14:textId="77777777" w:rsidR="0030305C" w:rsidRPr="00194EB8" w:rsidRDefault="0030305C" w:rsidP="0030305C">
            <w:pPr>
              <w:pStyle w:val="tablecolsubhead"/>
              <w:rPr>
                <w:b w:val="0"/>
                <w:bCs w:val="0"/>
                <w:i w:val="0"/>
                <w:iCs w:val="0"/>
                <w:lang w:eastAsia="zh-TW"/>
              </w:rPr>
            </w:pPr>
            <w:r>
              <w:rPr>
                <w:rFonts w:hint="eastAsia"/>
                <w:b w:val="0"/>
                <w:bCs w:val="0"/>
                <w:i w:val="0"/>
                <w:iCs w:val="0"/>
                <w:lang w:eastAsia="zh-TW"/>
              </w:rPr>
              <w:t>jal</w:t>
            </w:r>
          </w:p>
        </w:tc>
        <w:tc>
          <w:tcPr>
            <w:tcW w:w="1047" w:type="pct"/>
            <w:vAlign w:val="center"/>
          </w:tcPr>
          <w:p w14:paraId="29DC1BA2" w14:textId="77777777" w:rsidR="0030305C" w:rsidRPr="0004390D" w:rsidRDefault="0030305C" w:rsidP="0030305C">
            <w:pPr>
              <w:rPr>
                <w:sz w:val="16"/>
                <w:szCs w:val="16"/>
                <w:lang w:eastAsia="zh-TW"/>
              </w:rPr>
            </w:pPr>
            <w:r>
              <w:rPr>
                <w:rFonts w:hint="eastAsia"/>
                <w:sz w:val="16"/>
                <w:szCs w:val="16"/>
                <w:lang w:eastAsia="zh-TW"/>
              </w:rPr>
              <w:t>1200</w:t>
            </w:r>
          </w:p>
        </w:tc>
        <w:tc>
          <w:tcPr>
            <w:tcW w:w="1048" w:type="pct"/>
            <w:vAlign w:val="center"/>
          </w:tcPr>
          <w:p w14:paraId="7C1CE4BF" w14:textId="77777777" w:rsidR="0030305C" w:rsidRPr="0004390D" w:rsidRDefault="0030305C" w:rsidP="00F34C9C">
            <w:pPr>
              <w:ind w:rightChars="-31" w:right="-62"/>
              <w:rPr>
                <w:lang w:eastAsia="zh-TW"/>
              </w:rPr>
            </w:pPr>
            <w:r>
              <w:rPr>
                <w:rFonts w:hint="eastAsia"/>
                <w:sz w:val="16"/>
                <w:szCs w:val="16"/>
                <w:lang w:eastAsia="zh-TW"/>
              </w:rPr>
              <w:t>39127</w:t>
            </w:r>
          </w:p>
        </w:tc>
        <w:tc>
          <w:tcPr>
            <w:tcW w:w="1050" w:type="pct"/>
            <w:vAlign w:val="center"/>
          </w:tcPr>
          <w:p w14:paraId="7B807DDA" w14:textId="77777777" w:rsidR="0030305C" w:rsidRDefault="0030305C" w:rsidP="00F34C9C">
            <w:pPr>
              <w:ind w:rightChars="-31" w:right="-62"/>
              <w:rPr>
                <w:sz w:val="16"/>
                <w:szCs w:val="16"/>
                <w:lang w:eastAsia="zh-TW"/>
              </w:rPr>
            </w:pPr>
            <w:r>
              <w:rPr>
                <w:rFonts w:hint="eastAsia"/>
                <w:sz w:val="16"/>
                <w:szCs w:val="16"/>
                <w:lang w:eastAsia="zh-TW"/>
              </w:rPr>
              <w:t>3 %</w:t>
            </w:r>
          </w:p>
        </w:tc>
      </w:tr>
      <w:tr w:rsidR="0030305C" w:rsidRPr="0004390D" w14:paraId="0D6F0F2B" w14:textId="77777777" w:rsidTr="00F34C9C">
        <w:trPr>
          <w:trHeight w:val="320"/>
          <w:jc w:val="center"/>
        </w:trPr>
        <w:tc>
          <w:tcPr>
            <w:tcW w:w="1182" w:type="pct"/>
            <w:vMerge/>
            <w:vAlign w:val="center"/>
          </w:tcPr>
          <w:p w14:paraId="575D7487" w14:textId="77777777" w:rsidR="0030305C" w:rsidRDefault="0030305C" w:rsidP="00F34C9C">
            <w:pPr>
              <w:pStyle w:val="tablecolsubhead"/>
              <w:rPr>
                <w:b w:val="0"/>
                <w:bCs w:val="0"/>
                <w:i w:val="0"/>
                <w:iCs w:val="0"/>
                <w:lang w:eastAsia="zh-TW"/>
              </w:rPr>
            </w:pPr>
          </w:p>
        </w:tc>
        <w:tc>
          <w:tcPr>
            <w:tcW w:w="673" w:type="pct"/>
            <w:vAlign w:val="center"/>
          </w:tcPr>
          <w:p w14:paraId="374C4133" w14:textId="77777777" w:rsidR="0030305C" w:rsidRPr="00194EB8" w:rsidRDefault="0030305C" w:rsidP="0030305C">
            <w:pPr>
              <w:pStyle w:val="tablecolsubhead"/>
              <w:rPr>
                <w:b w:val="0"/>
                <w:bCs w:val="0"/>
                <w:i w:val="0"/>
                <w:iCs w:val="0"/>
                <w:lang w:eastAsia="zh-TW"/>
              </w:rPr>
            </w:pPr>
            <w:r>
              <w:rPr>
                <w:rFonts w:hint="eastAsia"/>
                <w:b w:val="0"/>
                <w:bCs w:val="0"/>
                <w:i w:val="0"/>
                <w:iCs w:val="0"/>
                <w:lang w:eastAsia="zh-TW"/>
              </w:rPr>
              <w:t>branch</w:t>
            </w:r>
          </w:p>
        </w:tc>
        <w:tc>
          <w:tcPr>
            <w:tcW w:w="1047" w:type="pct"/>
            <w:vAlign w:val="center"/>
          </w:tcPr>
          <w:p w14:paraId="036E196C" w14:textId="77777777" w:rsidR="0030305C" w:rsidRPr="0004390D" w:rsidRDefault="0030305C" w:rsidP="0030305C">
            <w:pPr>
              <w:rPr>
                <w:sz w:val="16"/>
                <w:szCs w:val="16"/>
                <w:lang w:eastAsia="zh-TW"/>
              </w:rPr>
            </w:pPr>
            <w:r>
              <w:rPr>
                <w:rFonts w:hint="eastAsia"/>
                <w:sz w:val="16"/>
                <w:szCs w:val="16"/>
                <w:lang w:eastAsia="zh-TW"/>
              </w:rPr>
              <w:t>58586</w:t>
            </w:r>
          </w:p>
        </w:tc>
        <w:tc>
          <w:tcPr>
            <w:tcW w:w="1048" w:type="pct"/>
            <w:vAlign w:val="center"/>
          </w:tcPr>
          <w:p w14:paraId="31D1FA2F" w14:textId="77777777" w:rsidR="0030305C" w:rsidRPr="0004390D" w:rsidRDefault="0030305C" w:rsidP="00F34C9C">
            <w:pPr>
              <w:ind w:rightChars="-31" w:right="-62"/>
              <w:rPr>
                <w:sz w:val="16"/>
                <w:szCs w:val="16"/>
                <w:lang w:eastAsia="zh-TW"/>
              </w:rPr>
            </w:pPr>
            <w:r>
              <w:rPr>
                <w:rFonts w:hint="eastAsia"/>
                <w:sz w:val="16"/>
                <w:szCs w:val="16"/>
                <w:lang w:eastAsia="zh-TW"/>
              </w:rPr>
              <w:t>253512</w:t>
            </w:r>
          </w:p>
        </w:tc>
        <w:tc>
          <w:tcPr>
            <w:tcW w:w="1050" w:type="pct"/>
            <w:vAlign w:val="center"/>
          </w:tcPr>
          <w:p w14:paraId="5F77AE85" w14:textId="77777777" w:rsidR="0030305C" w:rsidRDefault="0030305C" w:rsidP="00F34C9C">
            <w:pPr>
              <w:ind w:rightChars="-31" w:right="-62"/>
              <w:rPr>
                <w:sz w:val="16"/>
                <w:szCs w:val="16"/>
                <w:lang w:eastAsia="zh-TW"/>
              </w:rPr>
            </w:pPr>
            <w:r>
              <w:rPr>
                <w:rFonts w:hint="eastAsia"/>
                <w:sz w:val="16"/>
                <w:szCs w:val="16"/>
                <w:lang w:eastAsia="zh-TW"/>
              </w:rPr>
              <w:t>18.8 %</w:t>
            </w:r>
          </w:p>
        </w:tc>
      </w:tr>
      <w:tr w:rsidR="0030305C" w14:paraId="08C8A3FF" w14:textId="77777777" w:rsidTr="0030305C">
        <w:trPr>
          <w:trHeight w:val="320"/>
          <w:jc w:val="center"/>
        </w:trPr>
        <w:tc>
          <w:tcPr>
            <w:tcW w:w="1182" w:type="pct"/>
            <w:vMerge w:val="restart"/>
            <w:vAlign w:val="center"/>
          </w:tcPr>
          <w:p w14:paraId="5D235CDF" w14:textId="77777777" w:rsidR="0030305C" w:rsidRDefault="0030305C" w:rsidP="00F34C9C">
            <w:pPr>
              <w:pStyle w:val="tablecolsubhead"/>
              <w:rPr>
                <w:b w:val="0"/>
                <w:bCs w:val="0"/>
                <w:i w:val="0"/>
                <w:iCs w:val="0"/>
                <w:lang w:eastAsia="zh-TW"/>
              </w:rPr>
            </w:pPr>
            <w:r>
              <w:rPr>
                <w:rFonts w:hint="eastAsia"/>
                <w:b w:val="0"/>
                <w:bCs w:val="0"/>
                <w:i w:val="0"/>
                <w:iCs w:val="0"/>
                <w:lang w:eastAsia="zh-TW"/>
              </w:rPr>
              <w:t>EntryNum = 256</w:t>
            </w:r>
          </w:p>
        </w:tc>
        <w:tc>
          <w:tcPr>
            <w:tcW w:w="673" w:type="pct"/>
            <w:tcBorders>
              <w:top w:val="single" w:sz="2" w:space="0" w:color="auto"/>
              <w:left w:val="single" w:sz="2" w:space="0" w:color="auto"/>
              <w:bottom w:val="single" w:sz="2" w:space="0" w:color="auto"/>
              <w:right w:val="single" w:sz="2" w:space="0" w:color="auto"/>
            </w:tcBorders>
            <w:vAlign w:val="center"/>
          </w:tcPr>
          <w:p w14:paraId="30AEB7D2" w14:textId="77777777" w:rsidR="0030305C" w:rsidRDefault="0030305C" w:rsidP="0030305C">
            <w:pPr>
              <w:pStyle w:val="tablecolsubhead"/>
              <w:rPr>
                <w:b w:val="0"/>
                <w:bCs w:val="0"/>
                <w:i w:val="0"/>
                <w:iCs w:val="0"/>
                <w:lang w:eastAsia="zh-TW"/>
              </w:rPr>
            </w:pPr>
            <w:r>
              <w:rPr>
                <w:rFonts w:hint="eastAsia"/>
                <w:b w:val="0"/>
                <w:bCs w:val="0"/>
                <w:i w:val="0"/>
                <w:iCs w:val="0"/>
                <w:lang w:eastAsia="zh-TW"/>
              </w:rPr>
              <w:t>jal</w:t>
            </w:r>
          </w:p>
        </w:tc>
        <w:tc>
          <w:tcPr>
            <w:tcW w:w="1047" w:type="pct"/>
            <w:tcBorders>
              <w:top w:val="single" w:sz="2" w:space="0" w:color="auto"/>
              <w:left w:val="single" w:sz="2" w:space="0" w:color="auto"/>
              <w:bottom w:val="single" w:sz="2" w:space="0" w:color="auto"/>
              <w:right w:val="single" w:sz="2" w:space="0" w:color="auto"/>
            </w:tcBorders>
            <w:vAlign w:val="center"/>
          </w:tcPr>
          <w:p w14:paraId="39CEC0D7" w14:textId="77777777" w:rsidR="0030305C" w:rsidRPr="0030305C" w:rsidRDefault="0030305C" w:rsidP="0030305C">
            <w:pPr>
              <w:pStyle w:val="tablecolsubhead"/>
              <w:rPr>
                <w:b w:val="0"/>
                <w:bCs w:val="0"/>
                <w:i w:val="0"/>
                <w:iCs w:val="0"/>
                <w:lang w:eastAsia="zh-TW"/>
              </w:rPr>
            </w:pPr>
            <w:r w:rsidRPr="0030305C">
              <w:rPr>
                <w:rFonts w:hint="eastAsia"/>
                <w:b w:val="0"/>
                <w:bCs w:val="0"/>
                <w:i w:val="0"/>
                <w:iCs w:val="0"/>
                <w:lang w:eastAsia="zh-TW"/>
              </w:rPr>
              <w:t>3216</w:t>
            </w:r>
          </w:p>
        </w:tc>
        <w:tc>
          <w:tcPr>
            <w:tcW w:w="1048" w:type="pct"/>
            <w:tcBorders>
              <w:top w:val="single" w:sz="2" w:space="0" w:color="auto"/>
              <w:left w:val="single" w:sz="2" w:space="0" w:color="auto"/>
              <w:bottom w:val="single" w:sz="2" w:space="0" w:color="auto"/>
              <w:right w:val="single" w:sz="2" w:space="0" w:color="auto"/>
            </w:tcBorders>
            <w:vAlign w:val="center"/>
          </w:tcPr>
          <w:p w14:paraId="4BC8D1DF" w14:textId="77777777" w:rsidR="0030305C" w:rsidRDefault="0030305C" w:rsidP="00F34C9C">
            <w:pPr>
              <w:rPr>
                <w:sz w:val="16"/>
                <w:szCs w:val="16"/>
                <w:lang w:eastAsia="zh-TW"/>
              </w:rPr>
            </w:pPr>
            <w:r>
              <w:rPr>
                <w:rFonts w:hint="eastAsia"/>
                <w:sz w:val="16"/>
                <w:szCs w:val="16"/>
                <w:lang w:eastAsia="zh-TW"/>
              </w:rPr>
              <w:t>37111</w:t>
            </w:r>
          </w:p>
        </w:tc>
        <w:tc>
          <w:tcPr>
            <w:tcW w:w="1050" w:type="pct"/>
            <w:tcBorders>
              <w:top w:val="single" w:sz="2" w:space="0" w:color="auto"/>
              <w:left w:val="single" w:sz="2" w:space="0" w:color="auto"/>
              <w:bottom w:val="single" w:sz="2" w:space="0" w:color="auto"/>
              <w:right w:val="single" w:sz="2" w:space="0" w:color="auto"/>
            </w:tcBorders>
            <w:vAlign w:val="center"/>
          </w:tcPr>
          <w:p w14:paraId="722822B6" w14:textId="77777777" w:rsidR="0030305C" w:rsidRDefault="0030305C" w:rsidP="0030305C">
            <w:pPr>
              <w:ind w:rightChars="-31" w:right="-62"/>
              <w:rPr>
                <w:sz w:val="16"/>
                <w:szCs w:val="16"/>
                <w:lang w:eastAsia="zh-TW"/>
              </w:rPr>
            </w:pPr>
            <w:r>
              <w:rPr>
                <w:rFonts w:hint="eastAsia"/>
                <w:sz w:val="16"/>
                <w:szCs w:val="16"/>
                <w:lang w:eastAsia="zh-TW"/>
              </w:rPr>
              <w:t>8 %</w:t>
            </w:r>
          </w:p>
        </w:tc>
      </w:tr>
      <w:tr w:rsidR="0030305C" w14:paraId="3B4017D3" w14:textId="77777777" w:rsidTr="0030305C">
        <w:trPr>
          <w:trHeight w:val="320"/>
          <w:jc w:val="center"/>
        </w:trPr>
        <w:tc>
          <w:tcPr>
            <w:tcW w:w="1182" w:type="pct"/>
            <w:vMerge/>
            <w:vAlign w:val="center"/>
          </w:tcPr>
          <w:p w14:paraId="14481520" w14:textId="77777777" w:rsidR="0030305C" w:rsidRDefault="0030305C" w:rsidP="00F34C9C">
            <w:pPr>
              <w:pStyle w:val="tablecolsubhead"/>
              <w:jc w:val="left"/>
              <w:rPr>
                <w:b w:val="0"/>
                <w:bCs w:val="0"/>
                <w:i w:val="0"/>
                <w:iCs w:val="0"/>
                <w:lang w:eastAsia="zh-TW"/>
              </w:rPr>
            </w:pPr>
          </w:p>
        </w:tc>
        <w:tc>
          <w:tcPr>
            <w:tcW w:w="673" w:type="pct"/>
            <w:tcBorders>
              <w:top w:val="single" w:sz="2" w:space="0" w:color="auto"/>
              <w:left w:val="single" w:sz="2" w:space="0" w:color="auto"/>
              <w:bottom w:val="single" w:sz="2" w:space="0" w:color="auto"/>
              <w:right w:val="single" w:sz="2" w:space="0" w:color="auto"/>
            </w:tcBorders>
            <w:vAlign w:val="center"/>
          </w:tcPr>
          <w:p w14:paraId="2C5F3BE7" w14:textId="77777777" w:rsidR="0030305C" w:rsidRDefault="0030305C" w:rsidP="0030305C">
            <w:pPr>
              <w:pStyle w:val="tablecolsubhead"/>
              <w:rPr>
                <w:b w:val="0"/>
                <w:bCs w:val="0"/>
                <w:i w:val="0"/>
                <w:iCs w:val="0"/>
                <w:lang w:eastAsia="zh-TW"/>
              </w:rPr>
            </w:pPr>
            <w:r>
              <w:rPr>
                <w:rFonts w:hint="eastAsia"/>
                <w:b w:val="0"/>
                <w:bCs w:val="0"/>
                <w:i w:val="0"/>
                <w:iCs w:val="0"/>
                <w:lang w:eastAsia="zh-TW"/>
              </w:rPr>
              <w:t>branch</w:t>
            </w:r>
          </w:p>
        </w:tc>
        <w:tc>
          <w:tcPr>
            <w:tcW w:w="1047" w:type="pct"/>
            <w:tcBorders>
              <w:top w:val="single" w:sz="2" w:space="0" w:color="auto"/>
              <w:left w:val="single" w:sz="2" w:space="0" w:color="auto"/>
              <w:bottom w:val="single" w:sz="2" w:space="0" w:color="auto"/>
              <w:right w:val="single" w:sz="2" w:space="0" w:color="auto"/>
            </w:tcBorders>
            <w:vAlign w:val="center"/>
          </w:tcPr>
          <w:p w14:paraId="5C89C723" w14:textId="77777777" w:rsidR="0030305C" w:rsidRPr="0030305C" w:rsidRDefault="0030305C" w:rsidP="0030305C">
            <w:pPr>
              <w:pStyle w:val="tablecolsubhead"/>
              <w:rPr>
                <w:b w:val="0"/>
                <w:bCs w:val="0"/>
                <w:i w:val="0"/>
                <w:iCs w:val="0"/>
                <w:lang w:eastAsia="zh-TW"/>
              </w:rPr>
            </w:pPr>
            <w:r w:rsidRPr="0030305C">
              <w:rPr>
                <w:rFonts w:hint="eastAsia"/>
                <w:b w:val="0"/>
                <w:bCs w:val="0"/>
                <w:i w:val="0"/>
                <w:iCs w:val="0"/>
                <w:lang w:eastAsia="zh-TW"/>
              </w:rPr>
              <w:t>63420</w:t>
            </w:r>
          </w:p>
        </w:tc>
        <w:tc>
          <w:tcPr>
            <w:tcW w:w="1048" w:type="pct"/>
            <w:tcBorders>
              <w:top w:val="single" w:sz="2" w:space="0" w:color="auto"/>
              <w:left w:val="single" w:sz="2" w:space="0" w:color="auto"/>
              <w:bottom w:val="single" w:sz="2" w:space="0" w:color="auto"/>
              <w:right w:val="single" w:sz="2" w:space="0" w:color="auto"/>
            </w:tcBorders>
            <w:vAlign w:val="center"/>
          </w:tcPr>
          <w:p w14:paraId="2CA968BA" w14:textId="77777777" w:rsidR="0030305C" w:rsidRDefault="0030305C" w:rsidP="00F34C9C">
            <w:pPr>
              <w:rPr>
                <w:sz w:val="16"/>
                <w:szCs w:val="16"/>
                <w:lang w:eastAsia="zh-TW"/>
              </w:rPr>
            </w:pPr>
            <w:r>
              <w:rPr>
                <w:rFonts w:hint="eastAsia"/>
                <w:sz w:val="16"/>
                <w:szCs w:val="16"/>
                <w:lang w:eastAsia="zh-TW"/>
              </w:rPr>
              <w:t>248675</w:t>
            </w:r>
          </w:p>
        </w:tc>
        <w:tc>
          <w:tcPr>
            <w:tcW w:w="1050" w:type="pct"/>
            <w:tcBorders>
              <w:top w:val="single" w:sz="2" w:space="0" w:color="auto"/>
              <w:left w:val="single" w:sz="2" w:space="0" w:color="auto"/>
              <w:bottom w:val="single" w:sz="2" w:space="0" w:color="auto"/>
              <w:right w:val="single" w:sz="2" w:space="0" w:color="auto"/>
            </w:tcBorders>
            <w:vAlign w:val="center"/>
          </w:tcPr>
          <w:p w14:paraId="7A236755" w14:textId="77777777" w:rsidR="0030305C" w:rsidRDefault="0030305C" w:rsidP="0030305C">
            <w:pPr>
              <w:ind w:rightChars="-31" w:right="-62"/>
              <w:rPr>
                <w:sz w:val="16"/>
                <w:szCs w:val="16"/>
                <w:lang w:eastAsia="zh-TW"/>
              </w:rPr>
            </w:pPr>
            <w:r>
              <w:rPr>
                <w:rFonts w:hint="eastAsia"/>
                <w:sz w:val="16"/>
                <w:szCs w:val="16"/>
                <w:lang w:eastAsia="zh-TW"/>
              </w:rPr>
              <w:t>20.3 %</w:t>
            </w:r>
          </w:p>
        </w:tc>
      </w:tr>
    </w:tbl>
    <w:p w14:paraId="095F56D7" w14:textId="070E2A3C" w:rsidR="0030305C" w:rsidRPr="0030305C" w:rsidRDefault="0030305C" w:rsidP="0030305C">
      <w:pPr>
        <w:pStyle w:val="2"/>
        <w:rPr>
          <w:rFonts w:eastAsiaTheme="minorEastAsia"/>
          <w:lang w:eastAsia="zh-TW"/>
        </w:rPr>
      </w:pPr>
      <w:r>
        <w:rPr>
          <w:rFonts w:eastAsiaTheme="minorEastAsia" w:hint="eastAsia"/>
          <w:lang w:eastAsia="zh-TW"/>
        </w:rPr>
        <w:t>Counting mispredictions</w:t>
      </w:r>
    </w:p>
    <w:p w14:paraId="0D669C64" w14:textId="4406A6ED" w:rsidR="00E11287" w:rsidRPr="001D1A12" w:rsidRDefault="0030305C" w:rsidP="000970FF">
      <w:pPr>
        <w:pStyle w:val="a3"/>
        <w:rPr>
          <w:rFonts w:eastAsiaTheme="minorEastAsia" w:hint="eastAsia"/>
          <w:lang w:eastAsia="zh-TW"/>
        </w:rPr>
      </w:pPr>
      <w:r>
        <w:rPr>
          <w:rFonts w:eastAsiaTheme="minorEastAsia" w:hint="eastAsia"/>
          <w:lang w:eastAsia="zh-TW"/>
        </w:rPr>
        <w:t>I counted the number of mispredictions, which is the output from the execution stage. Under EntryNum = 64, the total number of mispredictions is 23882, which is 40% of table total hit, indicating that the branch prediction mechanism can be improved (the one implemented now is simply one-level branch predictor).</w:t>
      </w:r>
    </w:p>
    <w:p w14:paraId="23656B99" w14:textId="5AE1A11F" w:rsidR="008A55B5" w:rsidRDefault="002478A2">
      <w:pPr>
        <w:pStyle w:val="1"/>
        <w:rPr>
          <w:rFonts w:eastAsia="MS Mincho"/>
        </w:rPr>
      </w:pPr>
      <w:r>
        <w:rPr>
          <w:rFonts w:hint="eastAsia"/>
          <w:lang w:eastAsia="zh-TW"/>
        </w:rPr>
        <w:t>RAP Design</w:t>
      </w:r>
    </w:p>
    <w:p w14:paraId="04DDA108" w14:textId="03CB61C2" w:rsidR="008A55B5" w:rsidRPr="002478A2" w:rsidRDefault="00221CAB" w:rsidP="00753F7B">
      <w:pPr>
        <w:pStyle w:val="a3"/>
        <w:rPr>
          <w:rFonts w:eastAsiaTheme="minorEastAsia" w:hint="eastAsia"/>
          <w:lang w:eastAsia="zh-TW"/>
        </w:rPr>
      </w:pPr>
      <w:r>
        <w:rPr>
          <w:rFonts w:eastAsiaTheme="minorEastAsia" w:hint="eastAsia"/>
          <w:lang w:eastAsia="zh-TW"/>
        </w:rPr>
        <w:t xml:space="preserve">In this section, I will briefly </w:t>
      </w:r>
      <w:r w:rsidR="002478A2">
        <w:rPr>
          <w:rFonts w:eastAsiaTheme="minorEastAsia" w:hint="eastAsia"/>
          <w:lang w:eastAsia="zh-TW"/>
        </w:rPr>
        <w:t xml:space="preserve">introduce how </w:t>
      </w:r>
      <w:r w:rsidR="002478A2">
        <w:rPr>
          <w:rFonts w:eastAsiaTheme="minorEastAsia"/>
          <w:lang w:eastAsia="zh-TW"/>
        </w:rPr>
        <w:t>I</w:t>
      </w:r>
      <w:r w:rsidR="002478A2">
        <w:rPr>
          <w:rFonts w:eastAsiaTheme="minorEastAsia" w:hint="eastAsia"/>
          <w:lang w:eastAsia="zh-TW"/>
        </w:rPr>
        <w:t xml:space="preserve"> design my return address prediction unit.</w:t>
      </w:r>
      <w:r w:rsidR="005D5129">
        <w:rPr>
          <w:rFonts w:eastAsiaTheme="minorEastAsia" w:hint="eastAsia"/>
          <w:lang w:eastAsia="zh-TW"/>
        </w:rPr>
        <w:t xml:space="preserve"> The following graph </w:t>
      </w:r>
      <w:r w:rsidR="005D5129">
        <w:rPr>
          <w:rFonts w:eastAsiaTheme="minorEastAsia"/>
          <w:lang w:eastAsia="zh-TW"/>
        </w:rPr>
        <w:t>is the</w:t>
      </w:r>
      <w:r w:rsidR="005D5129">
        <w:rPr>
          <w:rFonts w:eastAsiaTheme="minorEastAsia" w:hint="eastAsia"/>
          <w:lang w:eastAsia="zh-TW"/>
        </w:rPr>
        <w:t xml:space="preserve"> architecture of my RAP design, note that there </w:t>
      </w:r>
      <w:r w:rsidR="005D5129">
        <w:rPr>
          <w:rFonts w:eastAsiaTheme="minorEastAsia"/>
          <w:lang w:eastAsia="zh-TW"/>
        </w:rPr>
        <w:t>is</w:t>
      </w:r>
      <w:r w:rsidR="005D5129">
        <w:rPr>
          <w:rFonts w:eastAsiaTheme="minorEastAsia" w:hint="eastAsia"/>
          <w:lang w:eastAsia="zh-TW"/>
        </w:rPr>
        <w:t xml:space="preserve"> more detail when implementing. I will introduce the five parts marked with the red numbers separately.</w:t>
      </w:r>
    </w:p>
    <w:p w14:paraId="373BA9F3" w14:textId="50BB18AC" w:rsidR="002478A2" w:rsidRDefault="005D5129" w:rsidP="002478A2">
      <w:pPr>
        <w:pStyle w:val="a3"/>
        <w:jc w:val="center"/>
        <w:rPr>
          <w:rFonts w:eastAsiaTheme="minorEastAsia"/>
          <w:lang w:eastAsia="zh-TW"/>
        </w:rPr>
      </w:pPr>
      <w:r>
        <w:rPr>
          <w:rFonts w:eastAsiaTheme="minorEastAsia"/>
          <w:noProof/>
          <w:lang w:eastAsia="zh-TW"/>
        </w:rPr>
        <w:drawing>
          <wp:inline distT="0" distB="0" distL="0" distR="0" wp14:anchorId="34AE5879" wp14:editId="1B9BA2F1">
            <wp:extent cx="2734435" cy="2235835"/>
            <wp:effectExtent l="0" t="0" r="8890" b="0"/>
            <wp:docPr id="1180728938" name="圖片 1"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28938" name="圖片 1" descr="一張含有 文字, 圖表, 螢幕擷取畫面, 行 的圖片&#10;&#10;自動產生的描述"/>
                    <pic:cNvPicPr/>
                  </pic:nvPicPr>
                  <pic:blipFill>
                    <a:blip r:embed="rId7"/>
                    <a:stretch>
                      <a:fillRect/>
                    </a:stretch>
                  </pic:blipFill>
                  <pic:spPr>
                    <a:xfrm>
                      <a:off x="0" y="0"/>
                      <a:ext cx="2755216" cy="2252827"/>
                    </a:xfrm>
                    <a:prstGeom prst="rect">
                      <a:avLst/>
                    </a:prstGeom>
                  </pic:spPr>
                </pic:pic>
              </a:graphicData>
            </a:graphic>
          </wp:inline>
        </w:drawing>
      </w:r>
    </w:p>
    <w:p w14:paraId="398BB41F" w14:textId="65E3DD5F" w:rsidR="005D5129" w:rsidRPr="00AB2109" w:rsidRDefault="002478A2" w:rsidP="005D5129">
      <w:pPr>
        <w:pStyle w:val="a3"/>
        <w:jc w:val="center"/>
        <w:rPr>
          <w:rFonts w:eastAsiaTheme="minorEastAsia" w:hint="eastAsia"/>
          <w:lang w:eastAsia="zh-TW"/>
        </w:rPr>
      </w:pPr>
      <w:r>
        <w:rPr>
          <w:rFonts w:eastAsiaTheme="minorEastAsia" w:hint="eastAsia"/>
          <w:lang w:eastAsia="zh-TW"/>
        </w:rPr>
        <w:t xml:space="preserve">Fig 1. </w:t>
      </w:r>
      <w:r w:rsidR="005D5129">
        <w:rPr>
          <w:rFonts w:eastAsiaTheme="minorEastAsia" w:hint="eastAsia"/>
          <w:lang w:eastAsia="zh-TW"/>
        </w:rPr>
        <w:t xml:space="preserve">RAP </w:t>
      </w:r>
      <w:r>
        <w:rPr>
          <w:rFonts w:eastAsiaTheme="minorEastAsia" w:hint="eastAsia"/>
          <w:lang w:eastAsia="zh-TW"/>
        </w:rPr>
        <w:t>Design</w:t>
      </w:r>
    </w:p>
    <w:p w14:paraId="0D162F6F" w14:textId="5DFAEA8F" w:rsidR="00310A5F" w:rsidRPr="00310A5F" w:rsidRDefault="0051130D" w:rsidP="00310A5F">
      <w:pPr>
        <w:pStyle w:val="2"/>
        <w:rPr>
          <w:rFonts w:eastAsiaTheme="minorEastAsia"/>
          <w:lang w:eastAsia="zh-TW"/>
        </w:rPr>
      </w:pPr>
      <w:r>
        <w:rPr>
          <w:rFonts w:eastAsiaTheme="minorEastAsia" w:hint="eastAsia"/>
          <w:lang w:eastAsia="zh-TW"/>
        </w:rPr>
        <w:t>Overall design</w:t>
      </w:r>
    </w:p>
    <w:p w14:paraId="16FB352F" w14:textId="4923D7F1" w:rsidR="008A55B5" w:rsidRDefault="0051130D" w:rsidP="005D5129">
      <w:pPr>
        <w:pStyle w:val="a3"/>
        <w:ind w:firstLineChars="142" w:firstLine="283"/>
        <w:rPr>
          <w:rFonts w:eastAsiaTheme="minorEastAsia" w:hint="eastAsia"/>
          <w:lang w:eastAsia="zh-TW"/>
        </w:rPr>
      </w:pPr>
      <w:r>
        <w:rPr>
          <w:rFonts w:eastAsiaTheme="minorEastAsia" w:hint="eastAsia"/>
          <w:lang w:eastAsia="zh-TW"/>
        </w:rPr>
        <w:t>I implement my return address prediction unit with a LIFO circular buffer, which stores the return addresses when jal instruction is decoded. Additionally, I store the address of ret instructions into a distri_RAM</w:t>
      </w:r>
      <w:r w:rsidR="00331DDA">
        <w:rPr>
          <w:rFonts w:eastAsiaTheme="minorEastAsia" w:hint="eastAsia"/>
          <w:lang w:eastAsia="zh-TW"/>
        </w:rPr>
        <w:t xml:space="preserve"> so that </w:t>
      </w:r>
      <w:r w:rsidR="00331DDA">
        <w:rPr>
          <w:rFonts w:eastAsiaTheme="minorEastAsia"/>
          <w:lang w:eastAsia="zh-TW"/>
        </w:rPr>
        <w:t>I</w:t>
      </w:r>
      <w:r w:rsidR="00331DDA">
        <w:rPr>
          <w:rFonts w:eastAsiaTheme="minorEastAsia" w:hint="eastAsia"/>
          <w:lang w:eastAsia="zh-TW"/>
        </w:rPr>
        <w:t xml:space="preserve"> can predict which instruction address contains ret instruction</w:t>
      </w:r>
      <w:r>
        <w:rPr>
          <w:rFonts w:eastAsiaTheme="minorEastAsia" w:hint="eastAsia"/>
          <w:lang w:eastAsia="zh-TW"/>
        </w:rPr>
        <w:t>.</w:t>
      </w:r>
    </w:p>
    <w:p w14:paraId="196485BA" w14:textId="5D4419A1" w:rsidR="00AD3E6A" w:rsidRDefault="0051130D" w:rsidP="00AD3E6A">
      <w:pPr>
        <w:pStyle w:val="2"/>
        <w:rPr>
          <w:rFonts w:eastAsiaTheme="minorEastAsia"/>
          <w:lang w:eastAsia="zh-TW"/>
        </w:rPr>
      </w:pPr>
      <w:r>
        <w:rPr>
          <w:rFonts w:eastAsiaTheme="minorEastAsia" w:hint="eastAsia"/>
          <w:lang w:eastAsia="zh-TW"/>
        </w:rPr>
        <w:t xml:space="preserve">Popping the </w:t>
      </w:r>
      <w:r w:rsidR="00917F81">
        <w:rPr>
          <w:rFonts w:eastAsiaTheme="minorEastAsia" w:hint="eastAsia"/>
          <w:lang w:eastAsia="zh-TW"/>
        </w:rPr>
        <w:t>C</w:t>
      </w:r>
      <w:r>
        <w:rPr>
          <w:rFonts w:eastAsiaTheme="minorEastAsia" w:hint="eastAsia"/>
          <w:lang w:eastAsia="zh-TW"/>
        </w:rPr>
        <w:t xml:space="preserve">ircular </w:t>
      </w:r>
      <w:r w:rsidR="00917F81">
        <w:rPr>
          <w:rFonts w:eastAsiaTheme="minorEastAsia" w:hint="eastAsia"/>
          <w:lang w:eastAsia="zh-TW"/>
        </w:rPr>
        <w:t>B</w:t>
      </w:r>
      <w:r>
        <w:rPr>
          <w:rFonts w:eastAsiaTheme="minorEastAsia" w:hint="eastAsia"/>
          <w:lang w:eastAsia="zh-TW"/>
        </w:rPr>
        <w:t>uffer (marked 1)</w:t>
      </w:r>
    </w:p>
    <w:p w14:paraId="3CDAAE3E" w14:textId="48082F0F" w:rsidR="008A55B5" w:rsidRPr="0051130D" w:rsidRDefault="0051130D" w:rsidP="0051130D">
      <w:pPr>
        <w:pStyle w:val="a3"/>
        <w:ind w:firstLineChars="142" w:firstLine="283"/>
        <w:rPr>
          <w:rFonts w:eastAsiaTheme="minorEastAsia" w:hint="eastAsia"/>
          <w:lang w:eastAsia="zh-TW"/>
        </w:rPr>
      </w:pPr>
      <w:r>
        <w:rPr>
          <w:rFonts w:eastAsiaTheme="minorEastAsia" w:hint="eastAsia"/>
          <w:lang w:eastAsia="zh-TW"/>
        </w:rPr>
        <w:t xml:space="preserve">I use the signal in execution stage when pushing and popping the buffer because </w:t>
      </w:r>
      <w:r>
        <w:rPr>
          <w:rFonts w:eastAsiaTheme="minorEastAsia"/>
          <w:lang w:eastAsia="zh-TW"/>
        </w:rPr>
        <w:t>I</w:t>
      </w:r>
      <w:r>
        <w:rPr>
          <w:rFonts w:eastAsiaTheme="minorEastAsia" w:hint="eastAsia"/>
          <w:lang w:eastAsia="zh-TW"/>
        </w:rPr>
        <w:t xml:space="preserve"> found out that there are branch instructions right before </w:t>
      </w:r>
      <w:proofErr w:type="gramStart"/>
      <w:r>
        <w:rPr>
          <w:rFonts w:eastAsiaTheme="minorEastAsia" w:hint="eastAsia"/>
          <w:lang w:eastAsia="zh-TW"/>
        </w:rPr>
        <w:t>ret</w:t>
      </w:r>
      <w:proofErr w:type="gramEnd"/>
      <w:r>
        <w:rPr>
          <w:rFonts w:eastAsiaTheme="minorEastAsia" w:hint="eastAsia"/>
          <w:lang w:eastAsia="zh-TW"/>
        </w:rPr>
        <w:t xml:space="preserve"> or jal. If the branch is taken, the buffer will be accidentally pushed or popped, making the process </w:t>
      </w:r>
      <w:r>
        <w:rPr>
          <w:rFonts w:eastAsiaTheme="minorEastAsia"/>
          <w:lang w:eastAsia="zh-TW"/>
        </w:rPr>
        <w:t>executed</w:t>
      </w:r>
      <w:r>
        <w:rPr>
          <w:rFonts w:eastAsiaTheme="minorEastAsia" w:hint="eastAsia"/>
          <w:lang w:eastAsia="zh-TW"/>
        </w:rPr>
        <w:t xml:space="preserve"> in a wrong way (I do not check whether the predicted return address is correct or not).</w:t>
      </w:r>
    </w:p>
    <w:p w14:paraId="2C5B5CE9" w14:textId="3110974D" w:rsidR="0051130D" w:rsidRDefault="0051130D" w:rsidP="0051130D">
      <w:pPr>
        <w:pStyle w:val="2"/>
        <w:rPr>
          <w:rFonts w:eastAsiaTheme="minorEastAsia"/>
          <w:lang w:eastAsia="zh-TW"/>
        </w:rPr>
      </w:pPr>
      <w:r>
        <w:rPr>
          <w:rFonts w:eastAsiaTheme="minorEastAsia" w:hint="eastAsia"/>
          <w:lang w:eastAsia="zh-TW"/>
        </w:rPr>
        <w:t>Pushing</w:t>
      </w:r>
      <w:r>
        <w:rPr>
          <w:rFonts w:eastAsiaTheme="minorEastAsia" w:hint="eastAsia"/>
          <w:lang w:eastAsia="zh-TW"/>
        </w:rPr>
        <w:t xml:space="preserve"> the </w:t>
      </w:r>
      <w:r w:rsidR="00917F81">
        <w:rPr>
          <w:rFonts w:eastAsiaTheme="minorEastAsia" w:hint="eastAsia"/>
          <w:lang w:eastAsia="zh-TW"/>
        </w:rPr>
        <w:t>C</w:t>
      </w:r>
      <w:r>
        <w:rPr>
          <w:rFonts w:eastAsiaTheme="minorEastAsia" w:hint="eastAsia"/>
          <w:lang w:eastAsia="zh-TW"/>
        </w:rPr>
        <w:t xml:space="preserve">ircular </w:t>
      </w:r>
      <w:r w:rsidR="00917F81">
        <w:rPr>
          <w:rFonts w:eastAsiaTheme="minorEastAsia" w:hint="eastAsia"/>
          <w:lang w:eastAsia="zh-TW"/>
        </w:rPr>
        <w:t>B</w:t>
      </w:r>
      <w:r>
        <w:rPr>
          <w:rFonts w:eastAsiaTheme="minorEastAsia" w:hint="eastAsia"/>
          <w:lang w:eastAsia="zh-TW"/>
        </w:rPr>
        <w:t xml:space="preserve">uffer (marked </w:t>
      </w:r>
      <w:r w:rsidR="00917F81">
        <w:rPr>
          <w:rFonts w:eastAsiaTheme="minorEastAsia" w:hint="eastAsia"/>
          <w:lang w:eastAsia="zh-TW"/>
        </w:rPr>
        <w:t>2</w:t>
      </w:r>
      <w:r>
        <w:rPr>
          <w:rFonts w:eastAsiaTheme="minorEastAsia" w:hint="eastAsia"/>
          <w:lang w:eastAsia="zh-TW"/>
        </w:rPr>
        <w:t>)</w:t>
      </w:r>
    </w:p>
    <w:p w14:paraId="0B595392" w14:textId="547C2D7F" w:rsidR="0051130D" w:rsidRDefault="00917F81" w:rsidP="0051130D">
      <w:pPr>
        <w:pStyle w:val="a3"/>
        <w:ind w:firstLineChars="142" w:firstLine="283"/>
        <w:rPr>
          <w:rFonts w:eastAsiaTheme="minorEastAsia"/>
          <w:lang w:eastAsia="zh-TW"/>
        </w:rPr>
      </w:pPr>
      <w:r>
        <w:rPr>
          <w:rFonts w:eastAsiaTheme="minorEastAsia" w:hint="eastAsia"/>
          <w:lang w:eastAsia="zh-TW"/>
        </w:rPr>
        <w:t xml:space="preserve">As described in the last paragraph, I used the signals in </w:t>
      </w:r>
      <w:proofErr w:type="gramStart"/>
      <w:r>
        <w:rPr>
          <w:rFonts w:eastAsiaTheme="minorEastAsia" w:hint="eastAsia"/>
          <w:lang w:eastAsia="zh-TW"/>
        </w:rPr>
        <w:t>execution</w:t>
      </w:r>
      <w:proofErr w:type="gramEnd"/>
      <w:r>
        <w:rPr>
          <w:rFonts w:eastAsiaTheme="minorEastAsia" w:hint="eastAsia"/>
          <w:lang w:eastAsia="zh-TW"/>
        </w:rPr>
        <w:t xml:space="preserve"> stage to decide whether </w:t>
      </w:r>
      <w:r>
        <w:rPr>
          <w:rFonts w:eastAsiaTheme="minorEastAsia"/>
          <w:lang w:eastAsia="zh-TW"/>
        </w:rPr>
        <w:t>I</w:t>
      </w:r>
      <w:r>
        <w:rPr>
          <w:rFonts w:eastAsiaTheme="minorEastAsia" w:hint="eastAsia"/>
          <w:lang w:eastAsia="zh-TW"/>
        </w:rPr>
        <w:t xml:space="preserve"> should push to the LIFO circular buffer. When </w:t>
      </w:r>
      <w:r>
        <w:rPr>
          <w:rFonts w:eastAsiaTheme="minorEastAsia"/>
          <w:lang w:eastAsia="zh-TW"/>
        </w:rPr>
        <w:t>I</w:t>
      </w:r>
      <w:r>
        <w:rPr>
          <w:rFonts w:eastAsiaTheme="minorEastAsia" w:hint="eastAsia"/>
          <w:lang w:eastAsia="zh-TW"/>
        </w:rPr>
        <w:t xml:space="preserve"> was testing my implementation, I found out that there are some </w:t>
      </w:r>
      <w:proofErr w:type="gramStart"/>
      <w:r>
        <w:rPr>
          <w:rFonts w:eastAsiaTheme="minorEastAsia" w:hint="eastAsia"/>
          <w:lang w:eastAsia="zh-TW"/>
        </w:rPr>
        <w:t>jump</w:t>
      </w:r>
      <w:proofErr w:type="gramEnd"/>
      <w:r>
        <w:rPr>
          <w:rFonts w:eastAsiaTheme="minorEastAsia" w:hint="eastAsia"/>
          <w:lang w:eastAsia="zh-TW"/>
        </w:rPr>
        <w:t xml:space="preserve"> and jr instructions, which should not affect the buffer when met. I added several conditions to when decoding so that they do not push the buffer by checking whether the rd_addr equals to 0. When the buffer should be pushed, </w:t>
      </w:r>
      <w:r>
        <w:rPr>
          <w:rFonts w:eastAsiaTheme="minorEastAsia"/>
          <w:lang w:eastAsia="zh-TW"/>
        </w:rPr>
        <w:t>I</w:t>
      </w:r>
      <w:r>
        <w:rPr>
          <w:rFonts w:eastAsiaTheme="minorEastAsia" w:hint="eastAsia"/>
          <w:lang w:eastAsia="zh-TW"/>
        </w:rPr>
        <w:t xml:space="preserve"> will push exe_pc + 4 to the buffer as the target return address.</w:t>
      </w:r>
    </w:p>
    <w:p w14:paraId="51052151" w14:textId="6DB66B46" w:rsidR="00917F81" w:rsidRDefault="00917F81" w:rsidP="00917F81">
      <w:pPr>
        <w:pStyle w:val="2"/>
        <w:rPr>
          <w:rFonts w:eastAsiaTheme="minorEastAsia"/>
          <w:lang w:eastAsia="zh-TW"/>
        </w:rPr>
      </w:pPr>
      <w:r>
        <w:rPr>
          <w:rFonts w:eastAsiaTheme="minorEastAsia" w:hint="eastAsia"/>
          <w:lang w:eastAsia="zh-TW"/>
        </w:rPr>
        <w:lastRenderedPageBreak/>
        <w:t>Return Address (</w:t>
      </w:r>
      <w:r>
        <w:rPr>
          <w:rFonts w:eastAsiaTheme="minorEastAsia" w:hint="eastAsia"/>
          <w:lang w:eastAsia="zh-TW"/>
        </w:rPr>
        <w:t xml:space="preserve">marked </w:t>
      </w:r>
      <w:r>
        <w:rPr>
          <w:rFonts w:eastAsiaTheme="minorEastAsia" w:hint="eastAsia"/>
          <w:lang w:eastAsia="zh-TW"/>
        </w:rPr>
        <w:t>3</w:t>
      </w:r>
      <w:r>
        <w:rPr>
          <w:rFonts w:eastAsiaTheme="minorEastAsia" w:hint="eastAsia"/>
          <w:lang w:eastAsia="zh-TW"/>
        </w:rPr>
        <w:t>)</w:t>
      </w:r>
      <w:r>
        <w:rPr>
          <w:rFonts w:eastAsiaTheme="minorEastAsia" w:hint="eastAsia"/>
          <w:lang w:eastAsia="zh-TW"/>
        </w:rPr>
        <w:t xml:space="preserve"> and Buffer Design</w:t>
      </w:r>
    </w:p>
    <w:p w14:paraId="2AC2F0CB" w14:textId="10EE2744" w:rsidR="00917F81" w:rsidRDefault="00917F81" w:rsidP="00917F81">
      <w:pPr>
        <w:pStyle w:val="a3"/>
        <w:ind w:firstLineChars="142" w:firstLine="283"/>
        <w:rPr>
          <w:rFonts w:eastAsiaTheme="minorEastAsia" w:hint="eastAsia"/>
          <w:lang w:eastAsia="zh-TW"/>
        </w:rPr>
      </w:pPr>
      <w:r>
        <w:rPr>
          <w:rFonts w:eastAsiaTheme="minorEastAsia" w:hint="eastAsia"/>
          <w:lang w:eastAsia="zh-TW"/>
        </w:rPr>
        <w:t>For convenience, the ouput signal ret_target_addr is always pointing to the top element of the buffer.</w:t>
      </w:r>
      <w:r>
        <w:rPr>
          <w:rFonts w:eastAsiaTheme="minorEastAsia" w:hint="eastAsia"/>
          <w:lang w:eastAsia="zh-TW"/>
        </w:rPr>
        <w:t xml:space="preserve"> </w:t>
      </w:r>
      <w:r>
        <w:rPr>
          <w:rFonts w:eastAsiaTheme="minorEastAsia" w:hint="eastAsia"/>
          <w:lang w:eastAsia="zh-TW"/>
        </w:rPr>
        <w:t xml:space="preserve">I have the top index stored in </w:t>
      </w:r>
      <w:r w:rsidR="00331DDA">
        <w:rPr>
          <w:rFonts w:eastAsiaTheme="minorEastAsia" w:hint="eastAsia"/>
          <w:lang w:eastAsia="zh-TW"/>
        </w:rPr>
        <w:t xml:space="preserve">a register. When pushing to the buffer, the new address will be added to the </w:t>
      </w:r>
      <w:proofErr w:type="gramStart"/>
      <w:r w:rsidR="00331DDA">
        <w:rPr>
          <w:rFonts w:eastAsiaTheme="minorEastAsia" w:hint="eastAsia"/>
          <w:lang w:eastAsia="zh-TW"/>
        </w:rPr>
        <w:t>buffer[</w:t>
      </w:r>
      <w:proofErr w:type="gramEnd"/>
      <w:r w:rsidR="00331DDA">
        <w:rPr>
          <w:rFonts w:eastAsiaTheme="minorEastAsia" w:hint="eastAsia"/>
          <w:lang w:eastAsia="zh-TW"/>
        </w:rPr>
        <w:t xml:space="preserve">top index], and the top index will be incremented by one. To make the buffer circular, I do mod operation when </w:t>
      </w:r>
      <w:proofErr w:type="gramStart"/>
      <w:r w:rsidR="00331DDA">
        <w:rPr>
          <w:rFonts w:eastAsiaTheme="minorEastAsia" w:hint="eastAsia"/>
          <w:lang w:eastAsia="zh-TW"/>
        </w:rPr>
        <w:t>top</w:t>
      </w:r>
      <w:proofErr w:type="gramEnd"/>
      <w:r w:rsidR="00331DDA">
        <w:rPr>
          <w:rFonts w:eastAsiaTheme="minorEastAsia" w:hint="eastAsia"/>
          <w:lang w:eastAsia="zh-TW"/>
        </w:rPr>
        <w:t xml:space="preserve"> index will be modified. I also add the item count to know when the buffer is empty.</w:t>
      </w:r>
    </w:p>
    <w:p w14:paraId="1109921B" w14:textId="112C3E16" w:rsidR="00331DDA" w:rsidRDefault="00331DDA" w:rsidP="00331DDA">
      <w:pPr>
        <w:pStyle w:val="2"/>
        <w:rPr>
          <w:rFonts w:eastAsiaTheme="minorEastAsia"/>
          <w:lang w:eastAsia="zh-TW"/>
        </w:rPr>
      </w:pPr>
      <w:r>
        <w:rPr>
          <w:rFonts w:eastAsiaTheme="minorEastAsia" w:hint="eastAsia"/>
          <w:lang w:eastAsia="zh-TW"/>
        </w:rPr>
        <w:t>Distri_RAM for Return Address (makred 4</w:t>
      </w:r>
      <w:r w:rsidR="00CA359D">
        <w:rPr>
          <w:rFonts w:eastAsiaTheme="minorEastAsia" w:hint="eastAsia"/>
          <w:lang w:eastAsia="zh-TW"/>
        </w:rPr>
        <w:t xml:space="preserve"> &amp; 5</w:t>
      </w:r>
      <w:r>
        <w:rPr>
          <w:rFonts w:eastAsiaTheme="minorEastAsia" w:hint="eastAsia"/>
          <w:lang w:eastAsia="zh-TW"/>
        </w:rPr>
        <w:t>)</w:t>
      </w:r>
    </w:p>
    <w:p w14:paraId="3C7CE392" w14:textId="7A2FC66B" w:rsidR="00917F81" w:rsidRDefault="00331DDA" w:rsidP="00331DDA">
      <w:pPr>
        <w:ind w:firstLineChars="142" w:firstLine="284"/>
        <w:jc w:val="both"/>
        <w:rPr>
          <w:rFonts w:hint="eastAsia"/>
          <w:lang w:eastAsia="zh-TW"/>
        </w:rPr>
      </w:pPr>
      <w:r>
        <w:rPr>
          <w:rFonts w:hint="eastAsia"/>
          <w:lang w:eastAsia="zh-TW"/>
        </w:rPr>
        <w:t xml:space="preserve">When an instruction is found to be </w:t>
      </w:r>
      <w:proofErr w:type="gramStart"/>
      <w:r>
        <w:rPr>
          <w:rFonts w:hint="eastAsia"/>
          <w:lang w:eastAsia="zh-TW"/>
        </w:rPr>
        <w:t>ret</w:t>
      </w:r>
      <w:proofErr w:type="gramEnd"/>
      <w:r w:rsidR="00CA359D">
        <w:rPr>
          <w:rFonts w:hint="eastAsia"/>
          <w:lang w:eastAsia="zh-TW"/>
        </w:rPr>
        <w:t xml:space="preserve"> in decode stage</w:t>
      </w:r>
      <w:r>
        <w:rPr>
          <w:rFonts w:hint="eastAsia"/>
          <w:lang w:eastAsia="zh-TW"/>
        </w:rPr>
        <w:t>, I will cache the address into the RAM. This part is the same</w:t>
      </w:r>
      <w:r w:rsidR="00CA359D">
        <w:rPr>
          <w:rFonts w:hint="eastAsia"/>
          <w:lang w:eastAsia="zh-TW"/>
        </w:rPr>
        <w:t xml:space="preserve"> implementation</w:t>
      </w:r>
      <w:r>
        <w:rPr>
          <w:rFonts w:hint="eastAsia"/>
          <w:lang w:eastAsia="zh-TW"/>
        </w:rPr>
        <w:t xml:space="preserve"> as the one in the branch prediction</w:t>
      </w:r>
      <w:r w:rsidR="00CA359D">
        <w:rPr>
          <w:rFonts w:hint="eastAsia"/>
          <w:lang w:eastAsia="zh-TW"/>
        </w:rPr>
        <w:t xml:space="preserve"> unit. </w:t>
      </w:r>
    </w:p>
    <w:p w14:paraId="2E852F51" w14:textId="2FBFB70E" w:rsidR="00CA359D" w:rsidRPr="00331DDA" w:rsidRDefault="00CA359D" w:rsidP="00331DDA">
      <w:pPr>
        <w:ind w:firstLineChars="142" w:firstLine="284"/>
        <w:jc w:val="both"/>
        <w:rPr>
          <w:rFonts w:hint="eastAsia"/>
          <w:lang w:eastAsia="zh-TW"/>
        </w:rPr>
      </w:pPr>
      <w:r>
        <w:rPr>
          <w:rFonts w:hint="eastAsia"/>
          <w:lang w:eastAsia="zh-TW"/>
        </w:rPr>
        <w:t>Given an address from pcu_pc, the address will be checked whether it is a ret instruction by looking at the table</w:t>
      </w:r>
      <w:r w:rsidR="008B10D6">
        <w:rPr>
          <w:rFonts w:hint="eastAsia"/>
          <w:lang w:eastAsia="zh-TW"/>
        </w:rPr>
        <w:t xml:space="preserve">. </w:t>
      </w:r>
      <w:proofErr w:type="gramStart"/>
      <w:r w:rsidR="008B10D6">
        <w:rPr>
          <w:rFonts w:hint="eastAsia"/>
          <w:lang w:eastAsia="zh-TW"/>
        </w:rPr>
        <w:t>If</w:t>
      </w:r>
      <w:proofErr w:type="gramEnd"/>
      <w:r w:rsidR="008B10D6">
        <w:rPr>
          <w:rFonts w:hint="eastAsia"/>
          <w:lang w:eastAsia="zh-TW"/>
        </w:rPr>
        <w:t xml:space="preserve"> hit, I will send the signal ret_hit_o to the program counter to update the pcu_pc for next iteration.</w:t>
      </w:r>
    </w:p>
    <w:p w14:paraId="389649FC" w14:textId="0AAD0427" w:rsidR="008B10D6" w:rsidRDefault="008B10D6" w:rsidP="008B10D6">
      <w:pPr>
        <w:pStyle w:val="2"/>
        <w:rPr>
          <w:rFonts w:eastAsiaTheme="minorEastAsia"/>
          <w:lang w:eastAsia="zh-TW"/>
        </w:rPr>
      </w:pPr>
      <w:r>
        <w:rPr>
          <w:rFonts w:eastAsiaTheme="minorEastAsia" w:hint="eastAsia"/>
          <w:lang w:eastAsia="zh-TW"/>
        </w:rPr>
        <w:t>Other details</w:t>
      </w:r>
    </w:p>
    <w:p w14:paraId="4A3F1AE6" w14:textId="2CD35F95" w:rsidR="008B10D6" w:rsidRDefault="008B10D6" w:rsidP="008B10D6">
      <w:pPr>
        <w:ind w:firstLineChars="142" w:firstLine="284"/>
        <w:jc w:val="both"/>
        <w:rPr>
          <w:rFonts w:hint="eastAsia"/>
          <w:lang w:eastAsia="zh-TW"/>
        </w:rPr>
      </w:pPr>
      <w:r>
        <w:rPr>
          <w:rFonts w:hint="eastAsia"/>
          <w:lang w:eastAsia="zh-TW"/>
        </w:rPr>
        <w:t xml:space="preserve">Following the BPU implementation, I delay the signal of branch hit and send it to the program counter so that it will not update </w:t>
      </w:r>
      <w:r w:rsidR="000970FF">
        <w:rPr>
          <w:rFonts w:hint="eastAsia"/>
          <w:lang w:eastAsia="zh-TW"/>
        </w:rPr>
        <w:t>when ret (which is included in jalr) is hit. Additionally, I also send it to pipeline control so that it will not be flushed unexpectedly.</w:t>
      </w:r>
      <w:r>
        <w:rPr>
          <w:rFonts w:hint="eastAsia"/>
          <w:lang w:eastAsia="zh-TW"/>
        </w:rPr>
        <w:t xml:space="preserve"> </w:t>
      </w:r>
    </w:p>
    <w:p w14:paraId="57E92A3E" w14:textId="15487294" w:rsidR="000970FF" w:rsidRDefault="000970FF" w:rsidP="000970FF">
      <w:pPr>
        <w:pStyle w:val="1"/>
        <w:rPr>
          <w:rFonts w:eastAsia="MS Mincho"/>
        </w:rPr>
      </w:pPr>
      <w:r>
        <w:rPr>
          <w:rFonts w:hint="eastAsia"/>
          <w:lang w:eastAsia="zh-TW"/>
        </w:rPr>
        <w:t>Result</w:t>
      </w:r>
    </w:p>
    <w:p w14:paraId="40E46181" w14:textId="1A8F94C9" w:rsidR="00CA359D" w:rsidRDefault="00853D7E" w:rsidP="00B739B3">
      <w:pPr>
        <w:ind w:firstLineChars="142" w:firstLine="284"/>
        <w:jc w:val="both"/>
        <w:rPr>
          <w:lang w:eastAsia="zh-TW"/>
        </w:rPr>
      </w:pPr>
      <w:r>
        <w:rPr>
          <w:rFonts w:hint="eastAsia"/>
          <w:lang w:eastAsia="zh-TW"/>
        </w:rPr>
        <w:t xml:space="preserve">With BUFFER_SIZE = 32 and </w:t>
      </w:r>
      <w:r w:rsidR="00B739B3">
        <w:rPr>
          <w:rFonts w:hint="eastAsia"/>
          <w:lang w:eastAsia="zh-TW"/>
        </w:rPr>
        <w:t>ENTRY_NUM</w:t>
      </w:r>
      <w:r w:rsidR="00B739B3">
        <w:rPr>
          <w:rFonts w:hint="eastAsia"/>
          <w:lang w:eastAsia="zh-TW"/>
        </w:rPr>
        <w:t xml:space="preserve"> of </w:t>
      </w:r>
      <w:r>
        <w:rPr>
          <w:rFonts w:hint="eastAsia"/>
          <w:lang w:eastAsia="zh-TW"/>
        </w:rPr>
        <w:t>Distri_RAM = 64, the coremark score increases from 100.739427 to 101.797748 (using the string library</w:t>
      </w:r>
      <w:r w:rsidR="00B739B3">
        <w:rPr>
          <w:rFonts w:hint="eastAsia"/>
          <w:lang w:eastAsia="zh-TW"/>
        </w:rPr>
        <w:t xml:space="preserve"> given by TAs and with BPU enabled)</w:t>
      </w:r>
      <w:r>
        <w:rPr>
          <w:rFonts w:hint="eastAsia"/>
          <w:lang w:eastAsia="zh-TW"/>
        </w:rPr>
        <w:t>.</w:t>
      </w:r>
      <w:r w:rsidR="00B739B3">
        <w:rPr>
          <w:rFonts w:hint="eastAsia"/>
          <w:lang w:eastAsia="zh-TW"/>
        </w:rPr>
        <w:t xml:space="preserve"> </w:t>
      </w:r>
    </w:p>
    <w:p w14:paraId="43F7F317" w14:textId="2A931C0F" w:rsidR="00B20D77" w:rsidRDefault="00B20D77" w:rsidP="00B20D77">
      <w:pPr>
        <w:pStyle w:val="1"/>
        <w:rPr>
          <w:rFonts w:eastAsia="MS Mincho"/>
        </w:rPr>
      </w:pPr>
      <w:r>
        <w:rPr>
          <w:rFonts w:hint="eastAsia"/>
          <w:lang w:eastAsia="zh-TW"/>
        </w:rPr>
        <w:t>Anaysis</w:t>
      </w:r>
    </w:p>
    <w:p w14:paraId="6BAE6D61" w14:textId="7EBCD315" w:rsidR="00B12100" w:rsidRDefault="00B20D77" w:rsidP="00B12100">
      <w:pPr>
        <w:ind w:firstLineChars="142" w:firstLine="284"/>
        <w:jc w:val="both"/>
        <w:rPr>
          <w:rFonts w:hint="eastAsia"/>
          <w:lang w:eastAsia="zh-TW"/>
        </w:rPr>
      </w:pPr>
      <w:r>
        <w:rPr>
          <w:rFonts w:hint="eastAsia"/>
          <w:lang w:eastAsia="zh-TW"/>
        </w:rPr>
        <w:t>With buffer size = 32, I did some experiment on the entry num of the distr_RAM.</w:t>
      </w:r>
      <w:r w:rsidR="001755DF">
        <w:rPr>
          <w:rFonts w:hint="eastAsia"/>
          <w:lang w:eastAsia="zh-TW"/>
        </w:rPr>
        <w:t xml:space="preserve"> When setting entry_num to 2, the increase pertage of the score of CoreMark </w:t>
      </w:r>
      <w:r w:rsidR="001755DF">
        <w:rPr>
          <w:lang w:eastAsia="zh-TW"/>
        </w:rPr>
        <w:t>reached</w:t>
      </w:r>
      <w:r w:rsidR="001755DF">
        <w:rPr>
          <w:rFonts w:hint="eastAsia"/>
          <w:lang w:eastAsia="zh-TW"/>
        </w:rPr>
        <w:t xml:space="preserve"> 0.93 percent. </w:t>
      </w:r>
      <w:r w:rsidR="00B12100">
        <w:rPr>
          <w:rFonts w:hint="eastAsia"/>
          <w:lang w:eastAsia="zh-TW"/>
        </w:rPr>
        <w:t>I speculate</w:t>
      </w:r>
      <w:r w:rsidR="001755DF">
        <w:rPr>
          <w:rFonts w:hint="eastAsia"/>
          <w:lang w:eastAsia="zh-TW"/>
        </w:rPr>
        <w:t xml:space="preserve"> that the CoreMark program tends to </w:t>
      </w:r>
      <w:r w:rsidR="00183AE1">
        <w:rPr>
          <w:rFonts w:hint="eastAsia"/>
          <w:lang w:eastAsia="zh-TW"/>
        </w:rPr>
        <w:t xml:space="preserve">use the same return address consecutively, making the RAP able to hit the return address even if there are only two </w:t>
      </w:r>
      <w:r w:rsidR="00C70D99">
        <w:rPr>
          <w:lang w:eastAsia="zh-TW"/>
        </w:rPr>
        <w:t>addresses</w:t>
      </w:r>
      <w:r w:rsidR="00183AE1">
        <w:rPr>
          <w:rFonts w:hint="eastAsia"/>
          <w:lang w:eastAsia="zh-TW"/>
        </w:rPr>
        <w:t xml:space="preserve"> being stored in the table.</w:t>
      </w:r>
      <w:r w:rsidR="00B12100">
        <w:rPr>
          <w:rFonts w:hint="eastAsia"/>
          <w:lang w:eastAsia="zh-TW"/>
        </w:rPr>
        <w:t xml:space="preserve"> I computed the hit rate when </w:t>
      </w:r>
      <w:r w:rsidR="00B12100">
        <w:rPr>
          <w:rFonts w:hint="eastAsia"/>
          <w:lang w:eastAsia="zh-TW"/>
        </w:rPr>
        <w:t>entry_num = 2, and the result shows that the hit rate is 87.7%, which shows that my guess is correct.</w:t>
      </w:r>
    </w:p>
    <w:p w14:paraId="1DA719C0" w14:textId="77777777" w:rsidR="00B12100" w:rsidRPr="001755DF" w:rsidRDefault="00B12100" w:rsidP="00B12100">
      <w:pPr>
        <w:pStyle w:val="tablehead"/>
        <w:rPr>
          <w:rFonts w:eastAsia="MS Mincho" w:hint="eastAsia"/>
          <w:noProof w:val="0"/>
          <w:spacing w:val="-1"/>
        </w:rPr>
      </w:pPr>
      <w:r>
        <w:rPr>
          <w:rFonts w:hint="eastAsia"/>
          <w:lang w:eastAsia="zh-TW"/>
        </w:rPr>
        <w:t>Score of Different EntryNums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85"/>
        <w:gridCol w:w="1937"/>
        <w:gridCol w:w="1934"/>
      </w:tblGrid>
      <w:tr w:rsidR="00B12100" w14:paraId="1C2E422E" w14:textId="77777777" w:rsidTr="002A1406">
        <w:trPr>
          <w:cantSplit/>
          <w:trHeight w:val="358"/>
          <w:tblHeader/>
          <w:jc w:val="center"/>
        </w:trPr>
        <w:tc>
          <w:tcPr>
            <w:tcW w:w="1317" w:type="pct"/>
            <w:vMerge w:val="restart"/>
            <w:vAlign w:val="center"/>
          </w:tcPr>
          <w:p w14:paraId="2E93A9CD" w14:textId="77777777" w:rsidR="00B12100" w:rsidRDefault="00B12100" w:rsidP="002A1406">
            <w:pPr>
              <w:pStyle w:val="tablecolhead"/>
              <w:rPr>
                <w:rFonts w:hint="eastAsia"/>
                <w:lang w:eastAsia="zh-TW"/>
              </w:rPr>
            </w:pPr>
            <w:r>
              <w:rPr>
                <w:rFonts w:hint="eastAsia"/>
                <w:lang w:eastAsia="zh-TW"/>
              </w:rPr>
              <w:t>ENTRY_NUM</w:t>
            </w:r>
          </w:p>
        </w:tc>
        <w:tc>
          <w:tcPr>
            <w:tcW w:w="3683" w:type="pct"/>
            <w:gridSpan w:val="2"/>
            <w:vAlign w:val="center"/>
          </w:tcPr>
          <w:p w14:paraId="71E5E926" w14:textId="77777777" w:rsidR="00B12100" w:rsidRDefault="00B12100" w:rsidP="002A1406">
            <w:pPr>
              <w:pStyle w:val="tablecolhead"/>
              <w:rPr>
                <w:rFonts w:hint="eastAsia"/>
                <w:lang w:eastAsia="zh-TW"/>
              </w:rPr>
            </w:pPr>
            <w:r>
              <w:rPr>
                <w:rFonts w:hint="eastAsia"/>
                <w:lang w:eastAsia="zh-TW"/>
              </w:rPr>
              <w:t>Metrics</w:t>
            </w:r>
          </w:p>
        </w:tc>
      </w:tr>
      <w:tr w:rsidR="00B12100" w14:paraId="290D94F4" w14:textId="77777777" w:rsidTr="002A1406">
        <w:trPr>
          <w:cantSplit/>
          <w:trHeight w:val="419"/>
          <w:tblHeader/>
          <w:jc w:val="center"/>
        </w:trPr>
        <w:tc>
          <w:tcPr>
            <w:tcW w:w="1317" w:type="pct"/>
            <w:vMerge/>
            <w:vAlign w:val="center"/>
          </w:tcPr>
          <w:p w14:paraId="35AD9D6D" w14:textId="77777777" w:rsidR="00B12100" w:rsidRPr="0004390D" w:rsidRDefault="00B12100" w:rsidP="002A1406">
            <w:pPr>
              <w:pStyle w:val="tablecolhead"/>
              <w:rPr>
                <w:rFonts w:hint="eastAsia"/>
                <w:lang w:eastAsia="zh-TW"/>
              </w:rPr>
            </w:pPr>
          </w:p>
        </w:tc>
        <w:tc>
          <w:tcPr>
            <w:tcW w:w="1843" w:type="pct"/>
            <w:vAlign w:val="center"/>
          </w:tcPr>
          <w:p w14:paraId="607D39B5" w14:textId="77777777" w:rsidR="00B12100" w:rsidRDefault="00B12100" w:rsidP="002A1406">
            <w:pPr>
              <w:pStyle w:val="tablecolhead"/>
              <w:rPr>
                <w:rFonts w:hint="eastAsia"/>
                <w:lang w:eastAsia="zh-TW"/>
              </w:rPr>
            </w:pPr>
            <w:r>
              <w:rPr>
                <w:rFonts w:hint="eastAsia"/>
                <w:lang w:eastAsia="zh-TW"/>
              </w:rPr>
              <w:t>CoreMark Score</w:t>
            </w:r>
          </w:p>
        </w:tc>
        <w:tc>
          <w:tcPr>
            <w:tcW w:w="1841" w:type="pct"/>
            <w:vAlign w:val="center"/>
          </w:tcPr>
          <w:p w14:paraId="3F1BD029" w14:textId="77777777" w:rsidR="00B12100" w:rsidRDefault="00B12100" w:rsidP="002A1406">
            <w:pPr>
              <w:pStyle w:val="tablecolhead"/>
              <w:rPr>
                <w:rFonts w:hint="eastAsia"/>
                <w:lang w:eastAsia="zh-TW"/>
              </w:rPr>
            </w:pPr>
            <w:r>
              <w:rPr>
                <w:rFonts w:hint="eastAsia"/>
                <w:lang w:eastAsia="zh-TW"/>
              </w:rPr>
              <w:t>Increase Percentage</w:t>
            </w:r>
          </w:p>
        </w:tc>
      </w:tr>
      <w:tr w:rsidR="00B12100" w14:paraId="14794DE3" w14:textId="77777777" w:rsidTr="002A1406">
        <w:trPr>
          <w:trHeight w:val="340"/>
          <w:jc w:val="center"/>
        </w:trPr>
        <w:tc>
          <w:tcPr>
            <w:tcW w:w="1317" w:type="pct"/>
            <w:vAlign w:val="center"/>
          </w:tcPr>
          <w:p w14:paraId="0918293D"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0</w:t>
            </w:r>
          </w:p>
        </w:tc>
        <w:tc>
          <w:tcPr>
            <w:tcW w:w="1842" w:type="pct"/>
            <w:vAlign w:val="center"/>
          </w:tcPr>
          <w:p w14:paraId="7EF2BF68" w14:textId="77777777" w:rsidR="00B12100" w:rsidRDefault="00B12100" w:rsidP="002A1406">
            <w:pPr>
              <w:ind w:rightChars="-31" w:right="-62"/>
              <w:rPr>
                <w:rFonts w:hint="eastAsia"/>
                <w:sz w:val="16"/>
                <w:szCs w:val="16"/>
                <w:lang w:eastAsia="zh-TW"/>
              </w:rPr>
            </w:pPr>
            <w:r>
              <w:rPr>
                <w:rFonts w:hint="eastAsia"/>
                <w:sz w:val="16"/>
                <w:szCs w:val="16"/>
                <w:lang w:eastAsia="zh-TW"/>
              </w:rPr>
              <w:t>100.739427</w:t>
            </w:r>
          </w:p>
        </w:tc>
        <w:tc>
          <w:tcPr>
            <w:tcW w:w="1842" w:type="pct"/>
            <w:vAlign w:val="center"/>
          </w:tcPr>
          <w:p w14:paraId="41A5E61A" w14:textId="77777777" w:rsidR="00B12100" w:rsidRDefault="00B12100" w:rsidP="002A1406">
            <w:pPr>
              <w:ind w:rightChars="-31" w:right="-62"/>
              <w:rPr>
                <w:rFonts w:hint="eastAsia"/>
                <w:sz w:val="16"/>
                <w:szCs w:val="16"/>
                <w:lang w:eastAsia="zh-TW"/>
              </w:rPr>
            </w:pPr>
            <w:r>
              <w:rPr>
                <w:rFonts w:hint="eastAsia"/>
                <w:sz w:val="16"/>
                <w:szCs w:val="16"/>
                <w:lang w:eastAsia="zh-TW"/>
              </w:rPr>
              <w:t>0 %</w:t>
            </w:r>
          </w:p>
        </w:tc>
      </w:tr>
      <w:tr w:rsidR="00B12100" w14:paraId="001B8140" w14:textId="77777777" w:rsidTr="002A1406">
        <w:trPr>
          <w:trHeight w:val="340"/>
          <w:jc w:val="center"/>
        </w:trPr>
        <w:tc>
          <w:tcPr>
            <w:tcW w:w="1317" w:type="pct"/>
            <w:vAlign w:val="center"/>
          </w:tcPr>
          <w:p w14:paraId="0CADBA29" w14:textId="77777777" w:rsidR="00B12100" w:rsidRPr="00194EB8" w:rsidRDefault="00B12100" w:rsidP="002A1406">
            <w:pPr>
              <w:pStyle w:val="tablecolsubhead"/>
              <w:rPr>
                <w:b w:val="0"/>
                <w:bCs w:val="0"/>
                <w:i w:val="0"/>
                <w:iCs w:val="0"/>
                <w:lang w:eastAsia="zh-TW"/>
              </w:rPr>
            </w:pPr>
            <w:r>
              <w:rPr>
                <w:rFonts w:hint="eastAsia"/>
                <w:b w:val="0"/>
                <w:bCs w:val="0"/>
                <w:i w:val="0"/>
                <w:iCs w:val="0"/>
                <w:lang w:eastAsia="zh-TW"/>
              </w:rPr>
              <w:t>2</w:t>
            </w:r>
          </w:p>
        </w:tc>
        <w:tc>
          <w:tcPr>
            <w:tcW w:w="1842" w:type="pct"/>
            <w:vAlign w:val="center"/>
          </w:tcPr>
          <w:p w14:paraId="7FCB6F50" w14:textId="77777777" w:rsidR="00B12100" w:rsidRDefault="00B12100" w:rsidP="002A1406">
            <w:pPr>
              <w:ind w:rightChars="-31" w:right="-62"/>
              <w:rPr>
                <w:rFonts w:hint="eastAsia"/>
                <w:sz w:val="16"/>
                <w:szCs w:val="16"/>
                <w:lang w:eastAsia="zh-TW"/>
              </w:rPr>
            </w:pPr>
            <w:r>
              <w:rPr>
                <w:rFonts w:hint="eastAsia"/>
                <w:sz w:val="16"/>
                <w:szCs w:val="16"/>
                <w:lang w:eastAsia="zh-TW"/>
              </w:rPr>
              <w:t>101.677682</w:t>
            </w:r>
          </w:p>
        </w:tc>
        <w:tc>
          <w:tcPr>
            <w:tcW w:w="1842" w:type="pct"/>
            <w:vAlign w:val="center"/>
          </w:tcPr>
          <w:p w14:paraId="3A7A47A6" w14:textId="77777777" w:rsidR="00B12100" w:rsidRDefault="00B12100" w:rsidP="002A1406">
            <w:pPr>
              <w:ind w:rightChars="-31" w:right="-62"/>
              <w:rPr>
                <w:rFonts w:hint="eastAsia"/>
                <w:sz w:val="16"/>
                <w:szCs w:val="16"/>
                <w:lang w:eastAsia="zh-TW"/>
              </w:rPr>
            </w:pPr>
            <w:r>
              <w:rPr>
                <w:rFonts w:hint="eastAsia"/>
                <w:sz w:val="16"/>
                <w:szCs w:val="16"/>
                <w:lang w:eastAsia="zh-TW"/>
              </w:rPr>
              <w:t>0.93 %</w:t>
            </w:r>
          </w:p>
        </w:tc>
      </w:tr>
      <w:tr w:rsidR="00B12100" w14:paraId="21FA0CE3" w14:textId="77777777" w:rsidTr="002A1406">
        <w:trPr>
          <w:trHeight w:val="340"/>
          <w:jc w:val="center"/>
        </w:trPr>
        <w:tc>
          <w:tcPr>
            <w:tcW w:w="1317" w:type="pct"/>
            <w:tcBorders>
              <w:right w:val="single" w:sz="2" w:space="0" w:color="auto"/>
            </w:tcBorders>
            <w:vAlign w:val="center"/>
          </w:tcPr>
          <w:p w14:paraId="3A3A34D7" w14:textId="77777777" w:rsidR="00B12100" w:rsidRDefault="00B12100" w:rsidP="002A1406">
            <w:pPr>
              <w:pStyle w:val="tablecolsubhead"/>
              <w:rPr>
                <w:b w:val="0"/>
                <w:bCs w:val="0"/>
                <w:i w:val="0"/>
                <w:iCs w:val="0"/>
                <w:lang w:eastAsia="zh-TW"/>
              </w:rPr>
            </w:pPr>
            <w:r>
              <w:rPr>
                <w:rFonts w:hint="eastAsia"/>
                <w:b w:val="0"/>
                <w:bCs w:val="0"/>
                <w:i w:val="0"/>
                <w:iCs w:val="0"/>
                <w:lang w:eastAsia="zh-TW"/>
              </w:rPr>
              <w:t>4</w:t>
            </w:r>
          </w:p>
        </w:tc>
        <w:tc>
          <w:tcPr>
            <w:tcW w:w="1842" w:type="pct"/>
            <w:tcBorders>
              <w:top w:val="single" w:sz="2" w:space="0" w:color="auto"/>
              <w:left w:val="single" w:sz="2" w:space="0" w:color="auto"/>
              <w:bottom w:val="single" w:sz="2" w:space="0" w:color="auto"/>
              <w:right w:val="single" w:sz="2" w:space="0" w:color="auto"/>
            </w:tcBorders>
            <w:vAlign w:val="center"/>
          </w:tcPr>
          <w:p w14:paraId="6609E59C" w14:textId="77777777" w:rsidR="00B12100" w:rsidRDefault="00B12100" w:rsidP="002A1406">
            <w:pPr>
              <w:ind w:rightChars="-31" w:right="-62"/>
              <w:rPr>
                <w:rFonts w:hint="eastAsia"/>
                <w:sz w:val="16"/>
                <w:szCs w:val="16"/>
                <w:lang w:eastAsia="zh-TW"/>
              </w:rPr>
            </w:pPr>
            <w:r>
              <w:rPr>
                <w:rFonts w:hint="eastAsia"/>
                <w:sz w:val="16"/>
                <w:szCs w:val="16"/>
                <w:lang w:eastAsia="zh-TW"/>
              </w:rPr>
              <w:t>101.719025</w:t>
            </w:r>
          </w:p>
        </w:tc>
        <w:tc>
          <w:tcPr>
            <w:tcW w:w="1842" w:type="pct"/>
            <w:tcBorders>
              <w:top w:val="single" w:sz="2" w:space="0" w:color="auto"/>
              <w:left w:val="single" w:sz="2" w:space="0" w:color="auto"/>
              <w:bottom w:val="single" w:sz="2" w:space="0" w:color="auto"/>
              <w:right w:val="single" w:sz="2" w:space="0" w:color="auto"/>
            </w:tcBorders>
            <w:vAlign w:val="center"/>
          </w:tcPr>
          <w:p w14:paraId="24BA812B"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0.97 %</w:t>
            </w:r>
          </w:p>
        </w:tc>
      </w:tr>
      <w:tr w:rsidR="00B12100" w14:paraId="5661393E" w14:textId="77777777" w:rsidTr="002A1406">
        <w:trPr>
          <w:trHeight w:val="340"/>
          <w:jc w:val="center"/>
        </w:trPr>
        <w:tc>
          <w:tcPr>
            <w:tcW w:w="1317" w:type="pct"/>
            <w:tcBorders>
              <w:right w:val="single" w:sz="2" w:space="0" w:color="auto"/>
            </w:tcBorders>
            <w:vAlign w:val="center"/>
          </w:tcPr>
          <w:p w14:paraId="10CD3822"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8</w:t>
            </w:r>
          </w:p>
        </w:tc>
        <w:tc>
          <w:tcPr>
            <w:tcW w:w="1842" w:type="pct"/>
            <w:tcBorders>
              <w:top w:val="single" w:sz="2" w:space="0" w:color="auto"/>
              <w:left w:val="single" w:sz="2" w:space="0" w:color="auto"/>
              <w:bottom w:val="single" w:sz="2" w:space="0" w:color="auto"/>
              <w:right w:val="single" w:sz="2" w:space="0" w:color="auto"/>
            </w:tcBorders>
            <w:vAlign w:val="center"/>
          </w:tcPr>
          <w:p w14:paraId="2BEF37C3" w14:textId="77777777" w:rsidR="00B12100" w:rsidRDefault="00B12100" w:rsidP="002A1406">
            <w:pPr>
              <w:ind w:rightChars="-31" w:right="-62"/>
              <w:rPr>
                <w:rFonts w:hint="eastAsia"/>
                <w:sz w:val="16"/>
                <w:szCs w:val="16"/>
                <w:lang w:eastAsia="zh-TW"/>
              </w:rPr>
            </w:pPr>
            <w:r>
              <w:rPr>
                <w:rFonts w:hint="eastAsia"/>
                <w:sz w:val="16"/>
                <w:szCs w:val="16"/>
                <w:lang w:eastAsia="zh-TW"/>
              </w:rPr>
              <w:t>101.729400</w:t>
            </w:r>
          </w:p>
        </w:tc>
        <w:tc>
          <w:tcPr>
            <w:tcW w:w="1842" w:type="pct"/>
            <w:tcBorders>
              <w:top w:val="single" w:sz="2" w:space="0" w:color="auto"/>
              <w:left w:val="single" w:sz="2" w:space="0" w:color="auto"/>
              <w:bottom w:val="single" w:sz="2" w:space="0" w:color="auto"/>
              <w:right w:val="single" w:sz="2" w:space="0" w:color="auto"/>
            </w:tcBorders>
            <w:vAlign w:val="center"/>
          </w:tcPr>
          <w:p w14:paraId="133AEB4A"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0.98 %</w:t>
            </w:r>
          </w:p>
        </w:tc>
      </w:tr>
      <w:tr w:rsidR="00B12100" w14:paraId="340050E8" w14:textId="77777777" w:rsidTr="002A1406">
        <w:trPr>
          <w:trHeight w:val="340"/>
          <w:jc w:val="center"/>
        </w:trPr>
        <w:tc>
          <w:tcPr>
            <w:tcW w:w="1317" w:type="pct"/>
            <w:tcBorders>
              <w:right w:val="single" w:sz="2" w:space="0" w:color="auto"/>
            </w:tcBorders>
            <w:vAlign w:val="center"/>
          </w:tcPr>
          <w:p w14:paraId="6ADDE4AD"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16</w:t>
            </w:r>
          </w:p>
        </w:tc>
        <w:tc>
          <w:tcPr>
            <w:tcW w:w="1842" w:type="pct"/>
            <w:tcBorders>
              <w:top w:val="single" w:sz="2" w:space="0" w:color="auto"/>
              <w:left w:val="single" w:sz="2" w:space="0" w:color="auto"/>
              <w:bottom w:val="single" w:sz="2" w:space="0" w:color="auto"/>
              <w:right w:val="single" w:sz="2" w:space="0" w:color="auto"/>
            </w:tcBorders>
            <w:vAlign w:val="center"/>
          </w:tcPr>
          <w:p w14:paraId="5D9AA2ED" w14:textId="77777777" w:rsidR="00B12100" w:rsidRDefault="00B12100" w:rsidP="002A1406">
            <w:pPr>
              <w:ind w:rightChars="-31" w:right="-62"/>
              <w:rPr>
                <w:rFonts w:hint="eastAsia"/>
                <w:sz w:val="16"/>
                <w:szCs w:val="16"/>
                <w:lang w:eastAsia="zh-TW"/>
              </w:rPr>
            </w:pPr>
            <w:r>
              <w:rPr>
                <w:rFonts w:hint="eastAsia"/>
                <w:sz w:val="16"/>
                <w:szCs w:val="16"/>
                <w:lang w:eastAsia="zh-TW"/>
              </w:rPr>
              <w:t>101.768741</w:t>
            </w:r>
          </w:p>
        </w:tc>
        <w:tc>
          <w:tcPr>
            <w:tcW w:w="1842" w:type="pct"/>
            <w:tcBorders>
              <w:top w:val="single" w:sz="2" w:space="0" w:color="auto"/>
              <w:left w:val="single" w:sz="2" w:space="0" w:color="auto"/>
              <w:bottom w:val="single" w:sz="2" w:space="0" w:color="auto"/>
              <w:right w:val="single" w:sz="2" w:space="0" w:color="auto"/>
            </w:tcBorders>
            <w:vAlign w:val="center"/>
          </w:tcPr>
          <w:p w14:paraId="10695576"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1.02 %</w:t>
            </w:r>
          </w:p>
        </w:tc>
      </w:tr>
      <w:tr w:rsidR="00B12100" w14:paraId="365BF755" w14:textId="77777777" w:rsidTr="002A1406">
        <w:trPr>
          <w:trHeight w:val="340"/>
          <w:jc w:val="center"/>
        </w:trPr>
        <w:tc>
          <w:tcPr>
            <w:tcW w:w="1317" w:type="pct"/>
            <w:tcBorders>
              <w:right w:val="single" w:sz="2" w:space="0" w:color="auto"/>
            </w:tcBorders>
            <w:vAlign w:val="center"/>
          </w:tcPr>
          <w:p w14:paraId="0B2CA13C"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32</w:t>
            </w:r>
          </w:p>
        </w:tc>
        <w:tc>
          <w:tcPr>
            <w:tcW w:w="1842" w:type="pct"/>
            <w:tcBorders>
              <w:top w:val="single" w:sz="2" w:space="0" w:color="auto"/>
              <w:left w:val="single" w:sz="2" w:space="0" w:color="auto"/>
              <w:bottom w:val="single" w:sz="2" w:space="0" w:color="auto"/>
              <w:right w:val="single" w:sz="2" w:space="0" w:color="auto"/>
            </w:tcBorders>
            <w:vAlign w:val="center"/>
          </w:tcPr>
          <w:p w14:paraId="4A32432D" w14:textId="77777777" w:rsidR="00B12100" w:rsidRDefault="00B12100" w:rsidP="002A1406">
            <w:pPr>
              <w:ind w:rightChars="-31" w:right="-62"/>
              <w:rPr>
                <w:rFonts w:hint="eastAsia"/>
                <w:sz w:val="16"/>
                <w:szCs w:val="16"/>
                <w:lang w:eastAsia="zh-TW"/>
              </w:rPr>
            </w:pPr>
            <w:r>
              <w:rPr>
                <w:rFonts w:hint="eastAsia"/>
                <w:sz w:val="16"/>
                <w:szCs w:val="16"/>
                <w:lang w:eastAsia="zh-TW"/>
              </w:rPr>
              <w:t>101.797748</w:t>
            </w:r>
          </w:p>
        </w:tc>
        <w:tc>
          <w:tcPr>
            <w:tcW w:w="1842" w:type="pct"/>
            <w:tcBorders>
              <w:top w:val="single" w:sz="2" w:space="0" w:color="auto"/>
              <w:left w:val="single" w:sz="2" w:space="0" w:color="auto"/>
              <w:bottom w:val="single" w:sz="2" w:space="0" w:color="auto"/>
              <w:right w:val="single" w:sz="2" w:space="0" w:color="auto"/>
            </w:tcBorders>
            <w:vAlign w:val="center"/>
          </w:tcPr>
          <w:p w14:paraId="05480106"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1.05 %</w:t>
            </w:r>
          </w:p>
        </w:tc>
      </w:tr>
      <w:tr w:rsidR="00B12100" w14:paraId="264DE3AE" w14:textId="77777777" w:rsidTr="002A1406">
        <w:trPr>
          <w:trHeight w:val="340"/>
          <w:jc w:val="center"/>
        </w:trPr>
        <w:tc>
          <w:tcPr>
            <w:tcW w:w="1317" w:type="pct"/>
            <w:tcBorders>
              <w:right w:val="single" w:sz="2" w:space="0" w:color="auto"/>
            </w:tcBorders>
            <w:vAlign w:val="center"/>
          </w:tcPr>
          <w:p w14:paraId="012C3B8B"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64</w:t>
            </w:r>
          </w:p>
        </w:tc>
        <w:tc>
          <w:tcPr>
            <w:tcW w:w="1842" w:type="pct"/>
            <w:tcBorders>
              <w:top w:val="single" w:sz="2" w:space="0" w:color="auto"/>
              <w:left w:val="single" w:sz="2" w:space="0" w:color="auto"/>
              <w:bottom w:val="single" w:sz="2" w:space="0" w:color="auto"/>
              <w:right w:val="single" w:sz="2" w:space="0" w:color="auto"/>
            </w:tcBorders>
            <w:vAlign w:val="center"/>
          </w:tcPr>
          <w:p w14:paraId="18F4F7CC" w14:textId="77777777" w:rsidR="00B12100" w:rsidRDefault="00B12100" w:rsidP="002A1406">
            <w:pPr>
              <w:ind w:rightChars="-31" w:right="-62"/>
              <w:rPr>
                <w:rFonts w:hint="eastAsia"/>
                <w:sz w:val="16"/>
                <w:szCs w:val="16"/>
                <w:lang w:eastAsia="zh-TW"/>
              </w:rPr>
            </w:pPr>
            <w:r>
              <w:rPr>
                <w:rFonts w:hint="eastAsia"/>
                <w:sz w:val="16"/>
                <w:szCs w:val="16"/>
                <w:lang w:eastAsia="zh-TW"/>
              </w:rPr>
              <w:t>101.797748</w:t>
            </w:r>
          </w:p>
        </w:tc>
        <w:tc>
          <w:tcPr>
            <w:tcW w:w="1842" w:type="pct"/>
            <w:tcBorders>
              <w:top w:val="single" w:sz="2" w:space="0" w:color="auto"/>
              <w:left w:val="single" w:sz="2" w:space="0" w:color="auto"/>
              <w:bottom w:val="single" w:sz="2" w:space="0" w:color="auto"/>
              <w:right w:val="single" w:sz="2" w:space="0" w:color="auto"/>
            </w:tcBorders>
            <w:vAlign w:val="center"/>
          </w:tcPr>
          <w:p w14:paraId="08D31EB6"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1.05 %</w:t>
            </w:r>
          </w:p>
        </w:tc>
      </w:tr>
      <w:tr w:rsidR="00B12100" w14:paraId="231BDB67" w14:textId="77777777" w:rsidTr="002A1406">
        <w:trPr>
          <w:trHeight w:val="340"/>
          <w:jc w:val="center"/>
        </w:trPr>
        <w:tc>
          <w:tcPr>
            <w:tcW w:w="1317" w:type="pct"/>
            <w:tcBorders>
              <w:right w:val="single" w:sz="2" w:space="0" w:color="auto"/>
            </w:tcBorders>
            <w:vAlign w:val="center"/>
          </w:tcPr>
          <w:p w14:paraId="152444D8" w14:textId="77777777" w:rsidR="00B12100" w:rsidRDefault="00B12100" w:rsidP="002A1406">
            <w:pPr>
              <w:pStyle w:val="tablecolsubhead"/>
              <w:rPr>
                <w:rFonts w:hint="eastAsia"/>
                <w:b w:val="0"/>
                <w:bCs w:val="0"/>
                <w:i w:val="0"/>
                <w:iCs w:val="0"/>
                <w:lang w:eastAsia="zh-TW"/>
              </w:rPr>
            </w:pPr>
            <w:r>
              <w:rPr>
                <w:rFonts w:hint="eastAsia"/>
                <w:b w:val="0"/>
                <w:bCs w:val="0"/>
                <w:i w:val="0"/>
                <w:iCs w:val="0"/>
                <w:lang w:eastAsia="zh-TW"/>
              </w:rPr>
              <w:t>128</w:t>
            </w:r>
          </w:p>
        </w:tc>
        <w:tc>
          <w:tcPr>
            <w:tcW w:w="1842" w:type="pct"/>
            <w:tcBorders>
              <w:top w:val="single" w:sz="2" w:space="0" w:color="auto"/>
              <w:left w:val="single" w:sz="2" w:space="0" w:color="auto"/>
              <w:bottom w:val="single" w:sz="2" w:space="0" w:color="auto"/>
              <w:right w:val="single" w:sz="2" w:space="0" w:color="auto"/>
            </w:tcBorders>
            <w:vAlign w:val="center"/>
          </w:tcPr>
          <w:p w14:paraId="2B71DE43" w14:textId="77777777" w:rsidR="00B12100" w:rsidRDefault="00B12100" w:rsidP="002A1406">
            <w:pPr>
              <w:ind w:rightChars="-31" w:right="-62"/>
              <w:rPr>
                <w:rFonts w:hint="eastAsia"/>
                <w:sz w:val="16"/>
                <w:szCs w:val="16"/>
                <w:lang w:eastAsia="zh-TW"/>
              </w:rPr>
            </w:pPr>
            <w:r>
              <w:rPr>
                <w:rFonts w:hint="eastAsia"/>
                <w:sz w:val="16"/>
                <w:szCs w:val="16"/>
                <w:lang w:eastAsia="zh-TW"/>
              </w:rPr>
              <w:t>101.808112</w:t>
            </w:r>
          </w:p>
        </w:tc>
        <w:tc>
          <w:tcPr>
            <w:tcW w:w="1842" w:type="pct"/>
            <w:tcBorders>
              <w:top w:val="single" w:sz="2" w:space="0" w:color="auto"/>
              <w:left w:val="single" w:sz="2" w:space="0" w:color="auto"/>
              <w:bottom w:val="single" w:sz="2" w:space="0" w:color="auto"/>
              <w:right w:val="single" w:sz="2" w:space="0" w:color="auto"/>
            </w:tcBorders>
            <w:vAlign w:val="center"/>
          </w:tcPr>
          <w:p w14:paraId="4A686C9F" w14:textId="77777777" w:rsidR="00B12100" w:rsidRPr="0030305C" w:rsidRDefault="00B12100" w:rsidP="002A1406">
            <w:pPr>
              <w:pStyle w:val="tablecolsubhead"/>
              <w:rPr>
                <w:rFonts w:hint="eastAsia"/>
                <w:b w:val="0"/>
                <w:bCs w:val="0"/>
                <w:i w:val="0"/>
                <w:iCs w:val="0"/>
                <w:lang w:eastAsia="zh-TW"/>
              </w:rPr>
            </w:pPr>
            <w:r>
              <w:rPr>
                <w:rFonts w:hint="eastAsia"/>
                <w:b w:val="0"/>
                <w:bCs w:val="0"/>
                <w:i w:val="0"/>
                <w:iCs w:val="0"/>
                <w:lang w:eastAsia="zh-TW"/>
              </w:rPr>
              <w:t>1.06 %</w:t>
            </w:r>
          </w:p>
        </w:tc>
      </w:tr>
    </w:tbl>
    <w:p w14:paraId="6F069C7E" w14:textId="77777777" w:rsidR="00B12100" w:rsidRDefault="00B12100" w:rsidP="00B20D77">
      <w:pPr>
        <w:ind w:firstLineChars="142" w:firstLine="284"/>
        <w:jc w:val="both"/>
        <w:rPr>
          <w:lang w:eastAsia="zh-TW"/>
        </w:rPr>
      </w:pPr>
    </w:p>
    <w:p w14:paraId="6CA422D3" w14:textId="3861B262" w:rsidR="00B12100" w:rsidRDefault="00B12100" w:rsidP="00B12100">
      <w:pPr>
        <w:pStyle w:val="1"/>
        <w:rPr>
          <w:lang w:eastAsia="zh-TW"/>
        </w:rPr>
      </w:pPr>
      <w:r>
        <w:rPr>
          <w:rFonts w:hint="eastAsia"/>
          <w:lang w:eastAsia="zh-TW"/>
        </w:rPr>
        <w:t>Discusion</w:t>
      </w:r>
    </w:p>
    <w:p w14:paraId="2E068851" w14:textId="6A9E84B9" w:rsidR="00B12100" w:rsidRPr="00B12100" w:rsidRDefault="00B12100" w:rsidP="00B12100">
      <w:pPr>
        <w:ind w:firstLineChars="142" w:firstLine="284"/>
        <w:jc w:val="both"/>
        <w:rPr>
          <w:rFonts w:hint="eastAsia"/>
          <w:lang w:eastAsia="zh-TW"/>
        </w:rPr>
      </w:pPr>
      <w:r>
        <w:rPr>
          <w:rFonts w:hint="eastAsia"/>
          <w:lang w:eastAsia="zh-TW"/>
        </w:rPr>
        <w:t>I implemented the RAP to get the address deterministicly</w:t>
      </w:r>
      <w:r w:rsidR="00334B86">
        <w:rPr>
          <w:rFonts w:hint="eastAsia"/>
          <w:lang w:eastAsia="zh-TW"/>
        </w:rPr>
        <w:t xml:space="preserve"> instead of predicting the target address</w:t>
      </w:r>
      <w:r>
        <w:rPr>
          <w:rFonts w:hint="eastAsia"/>
          <w:lang w:eastAsia="zh-TW"/>
        </w:rPr>
        <w:t xml:space="preserve">. </w:t>
      </w:r>
      <w:r w:rsidR="00334B86">
        <w:rPr>
          <w:rFonts w:hint="eastAsia"/>
          <w:lang w:eastAsia="zh-TW"/>
        </w:rPr>
        <w:t xml:space="preserve">Since </w:t>
      </w:r>
      <w:r w:rsidR="00334B86">
        <w:rPr>
          <w:lang w:eastAsia="zh-TW"/>
        </w:rPr>
        <w:t>I</w:t>
      </w:r>
      <w:r w:rsidR="00334B86">
        <w:rPr>
          <w:rFonts w:hint="eastAsia"/>
          <w:lang w:eastAsia="zh-TW"/>
        </w:rPr>
        <w:t xml:space="preserve"> assume the LIFO buffer will always give the correct return address, I do not include any check on the misprediction (like the one in BPU). This is a little dangerous </w:t>
      </w:r>
      <w:r w:rsidR="004462D2">
        <w:rPr>
          <w:rFonts w:hint="eastAsia"/>
          <w:lang w:eastAsia="zh-TW"/>
        </w:rPr>
        <w:t xml:space="preserve">when </w:t>
      </w:r>
      <w:r w:rsidR="00334B86">
        <w:rPr>
          <w:rFonts w:hint="eastAsia"/>
          <w:lang w:eastAsia="zh-TW"/>
        </w:rPr>
        <w:t xml:space="preserve">implementing because if the push and pop of the stack is not controlled properly, the whole process will crash (this happened a lot during debugging). While it might cause a lot of errors during implementation, it will increase a lot compared to predicting the target address and verifying after the execution stage (like the one in BPU). If RAP is done in the similar implementation of BPU, there will be some mispredictions becaues the same function might be called by different functions, making the </w:t>
      </w:r>
      <w:r w:rsidR="004462D2">
        <w:rPr>
          <w:rFonts w:hint="eastAsia"/>
          <w:lang w:eastAsia="zh-TW"/>
        </w:rPr>
        <w:t>predictions to be wrong.</w:t>
      </w:r>
    </w:p>
    <w:p w14:paraId="330B5860" w14:textId="6BF64A1A" w:rsidR="00B739B3" w:rsidRPr="008B10D6" w:rsidRDefault="00B739B3" w:rsidP="00B739B3">
      <w:pPr>
        <w:ind w:firstLineChars="142" w:firstLine="284"/>
        <w:jc w:val="both"/>
        <w:rPr>
          <w:rFonts w:hint="eastAsia"/>
          <w:lang w:eastAsia="zh-TW"/>
        </w:rPr>
        <w:sectPr w:rsidR="00B739B3" w:rsidRPr="008B10D6" w:rsidSect="004445B3">
          <w:type w:val="continuous"/>
          <w:pgSz w:w="11909" w:h="16834" w:code="9"/>
          <w:pgMar w:top="1080" w:right="734" w:bottom="2434" w:left="734" w:header="720" w:footer="720" w:gutter="0"/>
          <w:cols w:num="2" w:space="360"/>
          <w:docGrid w:linePitch="360"/>
        </w:sectPr>
      </w:pPr>
    </w:p>
    <w:p w14:paraId="554A183E" w14:textId="1019DB3E" w:rsidR="008A55B5" w:rsidRDefault="008A55B5" w:rsidP="0030305C">
      <w:pPr>
        <w:pStyle w:val="2"/>
        <w:numPr>
          <w:ilvl w:val="0"/>
          <w:numId w:val="0"/>
        </w:numPr>
        <w:rPr>
          <w:lang w:eastAsia="zh-TW"/>
        </w:rPr>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D0141" w14:textId="77777777" w:rsidR="00F43047" w:rsidRDefault="00F43047" w:rsidP="008E2D3A">
      <w:r>
        <w:separator/>
      </w:r>
    </w:p>
  </w:endnote>
  <w:endnote w:type="continuationSeparator" w:id="0">
    <w:p w14:paraId="14A441C7" w14:textId="77777777" w:rsidR="00F43047" w:rsidRDefault="00F43047" w:rsidP="008E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04F5" w14:textId="77777777" w:rsidR="00F43047" w:rsidRDefault="00F43047" w:rsidP="008E2D3A">
      <w:r>
        <w:separator/>
      </w:r>
    </w:p>
  </w:footnote>
  <w:footnote w:type="continuationSeparator" w:id="0">
    <w:p w14:paraId="14499CF5" w14:textId="77777777" w:rsidR="00F43047" w:rsidRDefault="00F43047" w:rsidP="008E2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05614671">
    <w:abstractNumId w:val="2"/>
  </w:num>
  <w:num w:numId="2" w16cid:durableId="1355498921">
    <w:abstractNumId w:val="6"/>
  </w:num>
  <w:num w:numId="3" w16cid:durableId="305552169">
    <w:abstractNumId w:val="1"/>
  </w:num>
  <w:num w:numId="4" w16cid:durableId="1915625196">
    <w:abstractNumId w:val="4"/>
  </w:num>
  <w:num w:numId="5" w16cid:durableId="1173954875">
    <w:abstractNumId w:val="4"/>
  </w:num>
  <w:num w:numId="6" w16cid:durableId="197086380">
    <w:abstractNumId w:val="4"/>
  </w:num>
  <w:num w:numId="7" w16cid:durableId="982732777">
    <w:abstractNumId w:val="4"/>
  </w:num>
  <w:num w:numId="8" w16cid:durableId="660236132">
    <w:abstractNumId w:val="5"/>
  </w:num>
  <w:num w:numId="9" w16cid:durableId="1185093879">
    <w:abstractNumId w:val="7"/>
  </w:num>
  <w:num w:numId="10" w16cid:durableId="1531257896">
    <w:abstractNumId w:val="3"/>
  </w:num>
  <w:num w:numId="11" w16cid:durableId="1881673622">
    <w:abstractNumId w:val="0"/>
  </w:num>
  <w:num w:numId="12" w16cid:durableId="1106463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2570"/>
    <w:rsid w:val="0004390D"/>
    <w:rsid w:val="0005417D"/>
    <w:rsid w:val="00096011"/>
    <w:rsid w:val="000970FF"/>
    <w:rsid w:val="000B4641"/>
    <w:rsid w:val="0010711E"/>
    <w:rsid w:val="00127EDD"/>
    <w:rsid w:val="00147D34"/>
    <w:rsid w:val="001535B9"/>
    <w:rsid w:val="001755DF"/>
    <w:rsid w:val="00183AE1"/>
    <w:rsid w:val="00194EB8"/>
    <w:rsid w:val="001A78B2"/>
    <w:rsid w:val="001B59B1"/>
    <w:rsid w:val="001D1A12"/>
    <w:rsid w:val="001D7140"/>
    <w:rsid w:val="001E0F87"/>
    <w:rsid w:val="001E5BBD"/>
    <w:rsid w:val="001F146D"/>
    <w:rsid w:val="001F43A2"/>
    <w:rsid w:val="00221A4A"/>
    <w:rsid w:val="00221CAB"/>
    <w:rsid w:val="002478A2"/>
    <w:rsid w:val="00251232"/>
    <w:rsid w:val="00276735"/>
    <w:rsid w:val="002864A3"/>
    <w:rsid w:val="002B3B81"/>
    <w:rsid w:val="002D6829"/>
    <w:rsid w:val="002E2158"/>
    <w:rsid w:val="002F2463"/>
    <w:rsid w:val="0030305C"/>
    <w:rsid w:val="00310A5F"/>
    <w:rsid w:val="00323D5D"/>
    <w:rsid w:val="00331DDA"/>
    <w:rsid w:val="00334B86"/>
    <w:rsid w:val="003A47B5"/>
    <w:rsid w:val="003A59A6"/>
    <w:rsid w:val="004059FE"/>
    <w:rsid w:val="0044388E"/>
    <w:rsid w:val="004445B3"/>
    <w:rsid w:val="004462D2"/>
    <w:rsid w:val="0046443C"/>
    <w:rsid w:val="0046778B"/>
    <w:rsid w:val="004967A6"/>
    <w:rsid w:val="004A71EC"/>
    <w:rsid w:val="004C2DE3"/>
    <w:rsid w:val="0051130D"/>
    <w:rsid w:val="00515911"/>
    <w:rsid w:val="005B520E"/>
    <w:rsid w:val="005B535B"/>
    <w:rsid w:val="005D5129"/>
    <w:rsid w:val="005E0456"/>
    <w:rsid w:val="006108A4"/>
    <w:rsid w:val="00617773"/>
    <w:rsid w:val="006322FB"/>
    <w:rsid w:val="006656FD"/>
    <w:rsid w:val="006A0660"/>
    <w:rsid w:val="006C4648"/>
    <w:rsid w:val="0072064C"/>
    <w:rsid w:val="007442B3"/>
    <w:rsid w:val="00753F7B"/>
    <w:rsid w:val="00787C5A"/>
    <w:rsid w:val="007919DE"/>
    <w:rsid w:val="007B1AC0"/>
    <w:rsid w:val="007C0308"/>
    <w:rsid w:val="007E34CD"/>
    <w:rsid w:val="008014D2"/>
    <w:rsid w:val="008054BC"/>
    <w:rsid w:val="00837888"/>
    <w:rsid w:val="00853D7E"/>
    <w:rsid w:val="0088685C"/>
    <w:rsid w:val="008A55B5"/>
    <w:rsid w:val="008A75C8"/>
    <w:rsid w:val="008B10D6"/>
    <w:rsid w:val="008E2D3A"/>
    <w:rsid w:val="008E3D76"/>
    <w:rsid w:val="00917F81"/>
    <w:rsid w:val="0097508D"/>
    <w:rsid w:val="009A2D73"/>
    <w:rsid w:val="00A45E78"/>
    <w:rsid w:val="00A510F7"/>
    <w:rsid w:val="00A54B68"/>
    <w:rsid w:val="00A82964"/>
    <w:rsid w:val="00AB05DB"/>
    <w:rsid w:val="00AB2109"/>
    <w:rsid w:val="00AB31F4"/>
    <w:rsid w:val="00AC6519"/>
    <w:rsid w:val="00AD3E6A"/>
    <w:rsid w:val="00AE2E50"/>
    <w:rsid w:val="00B12100"/>
    <w:rsid w:val="00B20D77"/>
    <w:rsid w:val="00B739B3"/>
    <w:rsid w:val="00B97F0A"/>
    <w:rsid w:val="00C020FD"/>
    <w:rsid w:val="00C05AC2"/>
    <w:rsid w:val="00C70D99"/>
    <w:rsid w:val="00CA359D"/>
    <w:rsid w:val="00CB1FC8"/>
    <w:rsid w:val="00CB66E6"/>
    <w:rsid w:val="00D11A46"/>
    <w:rsid w:val="00D25FB3"/>
    <w:rsid w:val="00D9156D"/>
    <w:rsid w:val="00DA441B"/>
    <w:rsid w:val="00DD0694"/>
    <w:rsid w:val="00E11287"/>
    <w:rsid w:val="00E5122F"/>
    <w:rsid w:val="00E61473"/>
    <w:rsid w:val="00E77587"/>
    <w:rsid w:val="00E91219"/>
    <w:rsid w:val="00E959AA"/>
    <w:rsid w:val="00EA506F"/>
    <w:rsid w:val="00EE4362"/>
    <w:rsid w:val="00EF18D7"/>
    <w:rsid w:val="00EF1E8A"/>
    <w:rsid w:val="00EF3A1A"/>
    <w:rsid w:val="00EF3F84"/>
    <w:rsid w:val="00F43047"/>
    <w:rsid w:val="00FE24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D2E20"/>
  <w15:docId w15:val="{7D1681C1-7113-4C69-8D3F-57A68450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8E2D3A"/>
    <w:pPr>
      <w:tabs>
        <w:tab w:val="center" w:pos="4153"/>
        <w:tab w:val="right" w:pos="8306"/>
      </w:tabs>
      <w:snapToGrid w:val="0"/>
    </w:pPr>
  </w:style>
  <w:style w:type="character" w:customStyle="1" w:styleId="a6">
    <w:name w:val="頁首 字元"/>
    <w:basedOn w:val="a0"/>
    <w:link w:val="a5"/>
    <w:uiPriority w:val="99"/>
    <w:rsid w:val="008E2D3A"/>
    <w:rPr>
      <w:rFonts w:ascii="Times New Roman" w:hAnsi="Times New Roman"/>
      <w:lang w:eastAsia="en-US"/>
    </w:rPr>
  </w:style>
  <w:style w:type="paragraph" w:styleId="a7">
    <w:name w:val="footer"/>
    <w:basedOn w:val="a"/>
    <w:link w:val="a8"/>
    <w:uiPriority w:val="99"/>
    <w:unhideWhenUsed/>
    <w:rsid w:val="008E2D3A"/>
    <w:pPr>
      <w:tabs>
        <w:tab w:val="center" w:pos="4153"/>
        <w:tab w:val="right" w:pos="8306"/>
      </w:tabs>
      <w:snapToGrid w:val="0"/>
    </w:pPr>
  </w:style>
  <w:style w:type="character" w:customStyle="1" w:styleId="a8">
    <w:name w:val="頁尾 字元"/>
    <w:basedOn w:val="a0"/>
    <w:link w:val="a7"/>
    <w:uiPriority w:val="99"/>
    <w:rsid w:val="008E2D3A"/>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1943</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沈昱宏</cp:lastModifiedBy>
  <cp:revision>5</cp:revision>
  <cp:lastPrinted>2024-10-22T08:53:00Z</cp:lastPrinted>
  <dcterms:created xsi:type="dcterms:W3CDTF">2013-10-11T00:15:00Z</dcterms:created>
  <dcterms:modified xsi:type="dcterms:W3CDTF">2024-11-01T07:42:00Z</dcterms:modified>
</cp:coreProperties>
</file>