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07B78" w14:textId="77777777" w:rsidR="00F10BCA" w:rsidRDefault="00BD0B01">
      <w:pPr>
        <w:pStyle w:val="H1"/>
      </w:pPr>
      <w:r>
        <w:rPr>
          <w:sz w:val="21"/>
        </w:rPr>
        <w:t xml:space="preserve">1. </w:t>
      </w:r>
      <w:r>
        <w:rPr>
          <w:sz w:val="21"/>
        </w:rPr>
        <w:t>目的</w:t>
      </w:r>
      <w:r>
        <w:rPr>
          <w:sz w:val="21"/>
        </w:rPr>
        <w:t xml:space="preserve"> Purpose</w:t>
      </w:r>
    </w:p>
    <w:p w14:paraId="42DDB2F7" w14:textId="77777777" w:rsidR="00F10BCA" w:rsidRDefault="00BD0B01">
      <w:pPr>
        <w:pStyle w:val="H1EN"/>
      </w:pPr>
      <w:r>
        <w:rPr>
          <w:sz w:val="21"/>
        </w:rPr>
        <w:t>1. Purpose</w:t>
      </w:r>
    </w:p>
    <w:p w14:paraId="4E2777AF" w14:textId="77777777" w:rsidR="00F10BCA" w:rsidRDefault="00BD0B01">
      <w:pPr>
        <w:pStyle w:val="Body"/>
      </w:pPr>
      <w:r>
        <w:rPr>
          <w:sz w:val="21"/>
        </w:rPr>
        <w:t>建立</w:t>
      </w:r>
      <w:r>
        <w:rPr>
          <w:sz w:val="21"/>
        </w:rPr>
        <w:t xml:space="preserve"> IEI </w:t>
      </w:r>
      <w:r>
        <w:rPr>
          <w:sz w:val="21"/>
        </w:rPr>
        <w:t>產品弱點受理、驗證、分析、修補、揭露、通報與結案之統一流程，確保：</w:t>
      </w:r>
    </w:p>
    <w:p w14:paraId="5B275920" w14:textId="77777777" w:rsidR="00F10BCA" w:rsidRDefault="00BD0B01">
      <w:pPr>
        <w:pStyle w:val="BodyEN"/>
      </w:pPr>
      <w:r>
        <w:rPr>
          <w:sz w:val="21"/>
        </w:rPr>
        <w:t>Establish a unified process for IEI product vulnerability intake,</w:t>
      </w:r>
      <w:r>
        <w:rPr>
          <w:sz w:val="21"/>
        </w:rPr>
        <w:t xml:space="preserve"> verification, analysis, remediation, disclosure, reporting, and closure to ensure that:</w:t>
      </w:r>
    </w:p>
    <w:p w14:paraId="0F9317B0" w14:textId="77777777" w:rsidR="00F10BCA" w:rsidRDefault="00BD0B01">
      <w:pPr>
        <w:pStyle w:val="af"/>
      </w:pPr>
      <w:r>
        <w:rPr>
          <w:sz w:val="21"/>
        </w:rPr>
        <w:t>對外弱點揭露與通報機制符合</w:t>
      </w:r>
      <w:r>
        <w:rPr>
          <w:sz w:val="21"/>
        </w:rPr>
        <w:t xml:space="preserve"> ISO/IEC 29147 </w:t>
      </w:r>
      <w:r>
        <w:rPr>
          <w:sz w:val="21"/>
        </w:rPr>
        <w:t>之精神。</w:t>
      </w:r>
    </w:p>
    <w:p w14:paraId="19008678" w14:textId="77777777" w:rsidR="00F10BCA" w:rsidRDefault="00BD0B01">
      <w:pPr>
        <w:pStyle w:val="BodyEN"/>
      </w:pPr>
      <w:r>
        <w:rPr>
          <w:sz w:val="21"/>
        </w:rPr>
        <w:t>Discovery of external weaknesses and the system of reporting are consistent with the spirit of ISO/IEC 29147.</w:t>
      </w:r>
    </w:p>
    <w:p w14:paraId="443360AB" w14:textId="77777777" w:rsidR="00F10BCA" w:rsidRDefault="00BD0B01">
      <w:pPr>
        <w:pStyle w:val="af"/>
      </w:pPr>
      <w:r>
        <w:rPr>
          <w:sz w:val="21"/>
        </w:rPr>
        <w:t>內部弱點處理、分派、修補與驗證符合</w:t>
      </w:r>
      <w:r>
        <w:rPr>
          <w:sz w:val="21"/>
        </w:rPr>
        <w:t xml:space="preserve"> ISO/IE</w:t>
      </w:r>
      <w:r>
        <w:rPr>
          <w:sz w:val="21"/>
        </w:rPr>
        <w:t xml:space="preserve">C 30111 </w:t>
      </w:r>
      <w:r>
        <w:rPr>
          <w:sz w:val="21"/>
        </w:rPr>
        <w:t>之要求。</w:t>
      </w:r>
    </w:p>
    <w:p w14:paraId="02104702" w14:textId="77777777" w:rsidR="00F10BCA" w:rsidRDefault="00BD0B01">
      <w:pPr>
        <w:pStyle w:val="BodyEN"/>
      </w:pPr>
      <w:r>
        <w:rPr>
          <w:sz w:val="21"/>
        </w:rPr>
        <w:t>Internal weaknesses are processed, assigned, patched and validated according to ISO/IEC 30111.</w:t>
      </w:r>
    </w:p>
    <w:p w14:paraId="4580C4C2" w14:textId="77777777" w:rsidR="00F10BCA" w:rsidRDefault="00BD0B01">
      <w:pPr>
        <w:pStyle w:val="af"/>
      </w:pPr>
      <w:r>
        <w:rPr>
          <w:sz w:val="21"/>
        </w:rPr>
        <w:t>建立可對應</w:t>
      </w:r>
      <w:r>
        <w:rPr>
          <w:sz w:val="21"/>
        </w:rPr>
        <w:t xml:space="preserve"> prEN 40000-1-3 vulnerability handling </w:t>
      </w:r>
      <w:r>
        <w:rPr>
          <w:sz w:val="21"/>
        </w:rPr>
        <w:t>要求之程序、紀錄與證據。</w:t>
      </w:r>
    </w:p>
    <w:p w14:paraId="780926AF" w14:textId="77777777" w:rsidR="00F10BCA" w:rsidRDefault="00BD0B01">
      <w:pPr>
        <w:pStyle w:val="BodyEN"/>
      </w:pPr>
      <w:r>
        <w:rPr>
          <w:sz w:val="21"/>
        </w:rPr>
        <w:t>Creates procedures, logs and evidence to respond to the requirements of prEN 40000-1-3 vuln</w:t>
      </w:r>
      <w:r>
        <w:rPr>
          <w:sz w:val="21"/>
        </w:rPr>
        <w:t>erability handling.</w:t>
      </w:r>
    </w:p>
    <w:p w14:paraId="121E011C" w14:textId="77777777" w:rsidR="00F10BCA" w:rsidRDefault="00BD0B01">
      <w:pPr>
        <w:pStyle w:val="af"/>
      </w:pPr>
      <w:r>
        <w:rPr>
          <w:sz w:val="21"/>
        </w:rPr>
        <w:t xml:space="preserve">CRA </w:t>
      </w:r>
      <w:r>
        <w:rPr>
          <w:sz w:val="21"/>
        </w:rPr>
        <w:t>要求之</w:t>
      </w:r>
      <w:r>
        <w:rPr>
          <w:sz w:val="21"/>
        </w:rPr>
        <w:t xml:space="preserve"> coordinated vulnerability disclosure</w:t>
      </w:r>
      <w:r>
        <w:rPr>
          <w:sz w:val="21"/>
        </w:rPr>
        <w:t>、單一聯絡窗口、修補後公開揭露、</w:t>
      </w:r>
      <w:r>
        <w:rPr>
          <w:sz w:val="21"/>
        </w:rPr>
        <w:t>SBOM/</w:t>
      </w:r>
      <w:r>
        <w:rPr>
          <w:sz w:val="21"/>
        </w:rPr>
        <w:t>元件追蹤與強制通報機制可被落實。</w:t>
      </w:r>
    </w:p>
    <w:p w14:paraId="241D5AA0" w14:textId="77777777" w:rsidR="00F10BCA" w:rsidRDefault="00BD0B01">
      <w:pPr>
        <w:pStyle w:val="BodyEN"/>
      </w:pPr>
      <w:r>
        <w:rPr>
          <w:sz w:val="21"/>
        </w:rPr>
        <w:t>The CBOM/Parte Tracking and Forced Reporting System can be implemented.</w:t>
      </w:r>
    </w:p>
    <w:p w14:paraId="152A8298" w14:textId="77777777" w:rsidR="00F10BCA" w:rsidRDefault="00BD0B01">
      <w:pPr>
        <w:pStyle w:val="af"/>
      </w:pPr>
      <w:r>
        <w:rPr>
          <w:sz w:val="21"/>
        </w:rPr>
        <w:t>對研究員、客戶、</w:t>
      </w:r>
      <w:r>
        <w:rPr>
          <w:sz w:val="21"/>
        </w:rPr>
        <w:t xml:space="preserve">ODM/OEM </w:t>
      </w:r>
      <w:r>
        <w:rPr>
          <w:sz w:val="21"/>
        </w:rPr>
        <w:t>客戶、供應商、協調者與主管機關之溝通具有一致性、可回溯性與可稽核性。</w:t>
      </w:r>
    </w:p>
    <w:p w14:paraId="1AE0CC39" w14:textId="77777777" w:rsidR="00F10BCA" w:rsidRDefault="00BD0B01">
      <w:pPr>
        <w:pStyle w:val="BodyEN"/>
      </w:pPr>
      <w:r>
        <w:rPr>
          <w:sz w:val="21"/>
        </w:rPr>
        <w:t>There is consistency, traceabil</w:t>
      </w:r>
      <w:r>
        <w:rPr>
          <w:sz w:val="21"/>
        </w:rPr>
        <w:t>ity and auditing of communication between researchers, clients, ODM/OEM clients, suppliers, facilitators and authorities.</w:t>
      </w:r>
    </w:p>
    <w:p w14:paraId="3D0779BA" w14:textId="77777777" w:rsidR="00F10BCA" w:rsidRDefault="00BD0B01">
      <w:pPr>
        <w:pStyle w:val="af"/>
      </w:pPr>
      <w:r>
        <w:rPr>
          <w:sz w:val="21"/>
        </w:rPr>
        <w:t xml:space="preserve">IEI </w:t>
      </w:r>
      <w:r>
        <w:rPr>
          <w:sz w:val="21"/>
        </w:rPr>
        <w:t>使用</w:t>
      </w:r>
      <w:r>
        <w:rPr>
          <w:sz w:val="21"/>
        </w:rPr>
        <w:t xml:space="preserve"> Jira </w:t>
      </w:r>
      <w:r>
        <w:rPr>
          <w:sz w:val="21"/>
        </w:rPr>
        <w:t>作為案件主追蹤系統，集中保存案件狀態、決策、聯繫摘要與必要證據。</w:t>
      </w:r>
    </w:p>
    <w:p w14:paraId="62D5B84C" w14:textId="77777777" w:rsidR="00F10BCA" w:rsidRDefault="00BD0B01">
      <w:pPr>
        <w:pStyle w:val="BodyEN"/>
      </w:pPr>
      <w:r>
        <w:rPr>
          <w:sz w:val="21"/>
        </w:rPr>
        <w:t>IEI uses Jira as the lead case tracking system to centralize case status, decision making</w:t>
      </w:r>
      <w:r>
        <w:rPr>
          <w:sz w:val="21"/>
        </w:rPr>
        <w:t>, contact summary and necessary evidence.</w:t>
      </w:r>
    </w:p>
    <w:p w14:paraId="3C0C32BF" w14:textId="77777777" w:rsidR="00F10BCA" w:rsidRDefault="00BD0B01">
      <w:pPr>
        <w:pStyle w:val="H1"/>
      </w:pPr>
      <w:r>
        <w:rPr>
          <w:sz w:val="21"/>
        </w:rPr>
        <w:t xml:space="preserve">2. </w:t>
      </w:r>
      <w:r>
        <w:rPr>
          <w:sz w:val="21"/>
        </w:rPr>
        <w:t>範圍</w:t>
      </w:r>
      <w:r>
        <w:rPr>
          <w:sz w:val="21"/>
        </w:rPr>
        <w:t xml:space="preserve"> Scope</w:t>
      </w:r>
    </w:p>
    <w:p w14:paraId="3B039BE2" w14:textId="77777777" w:rsidR="00F10BCA" w:rsidRDefault="00BD0B01">
      <w:pPr>
        <w:pStyle w:val="H1EN"/>
      </w:pPr>
      <w:r>
        <w:rPr>
          <w:sz w:val="21"/>
        </w:rPr>
        <w:t>2. Scope</w:t>
      </w:r>
    </w:p>
    <w:p w14:paraId="1480066B" w14:textId="77777777" w:rsidR="00F10BCA" w:rsidRDefault="00BD0B01">
      <w:pPr>
        <w:pStyle w:val="Body"/>
      </w:pPr>
      <w:r>
        <w:rPr>
          <w:sz w:val="21"/>
        </w:rPr>
        <w:t>本程序適用於下列與</w:t>
      </w:r>
      <w:r>
        <w:rPr>
          <w:sz w:val="21"/>
        </w:rPr>
        <w:t xml:space="preserve"> IEI </w:t>
      </w:r>
      <w:r>
        <w:rPr>
          <w:sz w:val="21"/>
        </w:rPr>
        <w:t>產品或其數位元件相關之弱點案件：</w:t>
      </w:r>
    </w:p>
    <w:p w14:paraId="0E82FE22" w14:textId="77777777" w:rsidR="00F10BCA" w:rsidRDefault="00BD0B01">
      <w:pPr>
        <w:pStyle w:val="BodyEN"/>
      </w:pPr>
      <w:r>
        <w:rPr>
          <w:sz w:val="21"/>
        </w:rPr>
        <w:t>This procedure applies to the following vulnerability cases related to IEI products or their digital elements:</w:t>
      </w:r>
    </w:p>
    <w:p w14:paraId="525C07DC" w14:textId="77777777" w:rsidR="00F10BCA" w:rsidRDefault="00BD0B01">
      <w:pPr>
        <w:pStyle w:val="af"/>
      </w:pPr>
      <w:r>
        <w:rPr>
          <w:sz w:val="21"/>
        </w:rPr>
        <w:t>外部研究員、客戶、終端使用者、合作夥伴、</w:t>
      </w:r>
      <w:r>
        <w:rPr>
          <w:sz w:val="21"/>
        </w:rPr>
        <w:t xml:space="preserve">CERT/CSIRT </w:t>
      </w:r>
      <w:r>
        <w:rPr>
          <w:sz w:val="21"/>
        </w:rPr>
        <w:t>或供應商之弱點通報。</w:t>
      </w:r>
    </w:p>
    <w:p w14:paraId="2FA674E4" w14:textId="77777777" w:rsidR="00F10BCA" w:rsidRDefault="00BD0B01">
      <w:pPr>
        <w:pStyle w:val="BodyEN"/>
      </w:pPr>
      <w:r>
        <w:rPr>
          <w:sz w:val="21"/>
        </w:rPr>
        <w:t xml:space="preserve">External </w:t>
      </w:r>
      <w:r>
        <w:rPr>
          <w:sz w:val="21"/>
        </w:rPr>
        <w:t>researchers, clients, end-users, partners, CERT/CSIRT or suppliers report weaknesses.</w:t>
      </w:r>
    </w:p>
    <w:p w14:paraId="1FDF0CDF" w14:textId="77777777" w:rsidR="00F10BCA" w:rsidRDefault="00BD0B01">
      <w:pPr>
        <w:pStyle w:val="af"/>
      </w:pPr>
      <w:r>
        <w:rPr>
          <w:sz w:val="21"/>
        </w:rPr>
        <w:t>內部</w:t>
      </w:r>
      <w:r>
        <w:rPr>
          <w:sz w:val="21"/>
        </w:rPr>
        <w:t xml:space="preserve"> PM</w:t>
      </w:r>
      <w:r>
        <w:rPr>
          <w:sz w:val="21"/>
        </w:rPr>
        <w:t>、</w:t>
      </w:r>
      <w:r>
        <w:rPr>
          <w:sz w:val="21"/>
        </w:rPr>
        <w:t>RD</w:t>
      </w:r>
      <w:r>
        <w:rPr>
          <w:sz w:val="21"/>
        </w:rPr>
        <w:t>、</w:t>
      </w:r>
      <w:r>
        <w:rPr>
          <w:sz w:val="21"/>
        </w:rPr>
        <w:t>DQV/QA</w:t>
      </w:r>
      <w:r>
        <w:rPr>
          <w:sz w:val="21"/>
        </w:rPr>
        <w:t>、測試、客服、業務或其他單位發現之產品安全弱點。</w:t>
      </w:r>
    </w:p>
    <w:p w14:paraId="4AFD89C6" w14:textId="77777777" w:rsidR="00F10BCA" w:rsidRDefault="00BD0B01">
      <w:pPr>
        <w:pStyle w:val="BodyEN"/>
      </w:pPr>
      <w:r>
        <w:rPr>
          <w:sz w:val="21"/>
        </w:rPr>
        <w:t xml:space="preserve">There are also weaknesses in the safety of products discovered by PM, RD, DQV/QA, testing, customer service, business or </w:t>
      </w:r>
      <w:r>
        <w:rPr>
          <w:sz w:val="21"/>
        </w:rPr>
        <w:t>other units.</w:t>
      </w:r>
    </w:p>
    <w:p w14:paraId="7B9B44B2" w14:textId="77777777" w:rsidR="00F10BCA" w:rsidRDefault="00BD0B01">
      <w:pPr>
        <w:pStyle w:val="af"/>
      </w:pPr>
      <w:r>
        <w:rPr>
          <w:sz w:val="21"/>
        </w:rPr>
        <w:t>影響</w:t>
      </w:r>
      <w:r>
        <w:rPr>
          <w:sz w:val="21"/>
        </w:rPr>
        <w:t xml:space="preserve"> IEI </w:t>
      </w:r>
      <w:r>
        <w:rPr>
          <w:sz w:val="21"/>
        </w:rPr>
        <w:t>標準產品、</w:t>
      </w:r>
      <w:r>
        <w:rPr>
          <w:sz w:val="21"/>
        </w:rPr>
        <w:t xml:space="preserve">ODM/OEM </w:t>
      </w:r>
      <w:r>
        <w:rPr>
          <w:sz w:val="21"/>
        </w:rPr>
        <w:t>客製產品、韌體、</w:t>
      </w:r>
      <w:r>
        <w:rPr>
          <w:sz w:val="21"/>
        </w:rPr>
        <w:t>BIOS/UEFI</w:t>
      </w:r>
      <w:r>
        <w:rPr>
          <w:sz w:val="21"/>
        </w:rPr>
        <w:t>、</w:t>
      </w:r>
      <w:r>
        <w:rPr>
          <w:sz w:val="21"/>
        </w:rPr>
        <w:t>driver</w:t>
      </w:r>
      <w:r>
        <w:rPr>
          <w:sz w:val="21"/>
        </w:rPr>
        <w:t>、軟體套件、雲端配套元件或第三方相依元件之弱點。</w:t>
      </w:r>
    </w:p>
    <w:p w14:paraId="0EA763B8" w14:textId="77777777" w:rsidR="00F10BCA" w:rsidRDefault="00BD0B01">
      <w:pPr>
        <w:pStyle w:val="BodyEN"/>
      </w:pPr>
      <w:r>
        <w:rPr>
          <w:sz w:val="21"/>
        </w:rPr>
        <w:t>Impacts the weakness of IEI standard products, ODM/OEM customer products, scavengers, BIOS/UEFI, driver, software packages, cloud packages or third-party dependent components</w:t>
      </w:r>
      <w:r>
        <w:rPr>
          <w:sz w:val="21"/>
        </w:rPr>
        <w:t>.</w:t>
      </w:r>
    </w:p>
    <w:p w14:paraId="46A9317B" w14:textId="77777777" w:rsidR="00F10BCA" w:rsidRDefault="00BD0B01">
      <w:pPr>
        <w:pStyle w:val="af"/>
      </w:pPr>
      <w:r>
        <w:rPr>
          <w:sz w:val="21"/>
        </w:rPr>
        <w:t>已公開弱點、疑似遭利用弱點、已遭主動利用弱點，以及影響產品數位安全之嚴重事件。</w:t>
      </w:r>
    </w:p>
    <w:p w14:paraId="63DC18E4" w14:textId="77777777" w:rsidR="00F10BCA" w:rsidRDefault="00BD0B01">
      <w:pPr>
        <w:pStyle w:val="BodyEN"/>
      </w:pPr>
      <w:r>
        <w:rPr>
          <w:sz w:val="21"/>
        </w:rPr>
        <w:t>Weaknesses have been made public, suspected to be exploited, motivated to exploit them, and serious incidents affecting the digital security of products.</w:t>
      </w:r>
    </w:p>
    <w:p w14:paraId="0DB3E189" w14:textId="77777777" w:rsidR="00F10BCA" w:rsidRDefault="00BD0B01">
      <w:pPr>
        <w:pStyle w:val="Body"/>
      </w:pPr>
      <w:r>
        <w:rPr>
          <w:sz w:val="21"/>
        </w:rPr>
        <w:t>本程序不取代一般</w:t>
      </w:r>
      <w:r>
        <w:rPr>
          <w:sz w:val="21"/>
        </w:rPr>
        <w:t xml:space="preserve"> IT </w:t>
      </w:r>
      <w:r>
        <w:rPr>
          <w:sz w:val="21"/>
        </w:rPr>
        <w:t>事故處理程序；若案件涉及企業內部</w:t>
      </w:r>
      <w:r>
        <w:rPr>
          <w:sz w:val="21"/>
        </w:rPr>
        <w:t xml:space="preserve"> IT </w:t>
      </w:r>
      <w:r>
        <w:rPr>
          <w:sz w:val="21"/>
        </w:rPr>
        <w:t>環境而非產品本身，</w:t>
      </w:r>
      <w:proofErr w:type="gramStart"/>
      <w:r>
        <w:rPr>
          <w:sz w:val="21"/>
        </w:rPr>
        <w:t>應轉依適用</w:t>
      </w:r>
      <w:proofErr w:type="gramEnd"/>
      <w:r>
        <w:rPr>
          <w:sz w:val="21"/>
        </w:rPr>
        <w:t>之資訊安全事件程序辦理。</w:t>
      </w:r>
    </w:p>
    <w:p w14:paraId="48DFFE2A" w14:textId="77777777" w:rsidR="00F10BCA" w:rsidRDefault="00BD0B01">
      <w:pPr>
        <w:pStyle w:val="BodyEN"/>
      </w:pPr>
      <w:r>
        <w:rPr>
          <w:sz w:val="21"/>
        </w:rPr>
        <w:lastRenderedPageBreak/>
        <w:t>T</w:t>
      </w:r>
      <w:r>
        <w:rPr>
          <w:sz w:val="21"/>
        </w:rPr>
        <w:t>his procedure does not replace the general IT incident handling procedure; if a case involves the corporate IT environment rather than the product itself, it shall be handled under the applicable information security incident procedure.</w:t>
      </w:r>
    </w:p>
    <w:p w14:paraId="54267057" w14:textId="77777777" w:rsidR="00F10BCA" w:rsidRDefault="00BD0B01">
      <w:pPr>
        <w:pStyle w:val="H2"/>
      </w:pPr>
      <w:r>
        <w:rPr>
          <w:sz w:val="21"/>
        </w:rPr>
        <w:t xml:space="preserve">2.1 </w:t>
      </w:r>
      <w:r>
        <w:rPr>
          <w:sz w:val="21"/>
        </w:rPr>
        <w:t>適用性與</w:t>
      </w:r>
      <w:proofErr w:type="gramStart"/>
      <w:r>
        <w:rPr>
          <w:sz w:val="21"/>
        </w:rPr>
        <w:t>風險式加嚴</w:t>
      </w:r>
      <w:proofErr w:type="gramEnd"/>
      <w:r>
        <w:rPr>
          <w:sz w:val="21"/>
        </w:rPr>
        <w:t>要求</w:t>
      </w:r>
      <w:r>
        <w:rPr>
          <w:sz w:val="21"/>
        </w:rPr>
        <w:t xml:space="preserve"> App</w:t>
      </w:r>
      <w:r>
        <w:rPr>
          <w:sz w:val="21"/>
        </w:rPr>
        <w:t>licability and Risk-based Enhancements</w:t>
      </w:r>
    </w:p>
    <w:p w14:paraId="61B0A6B3" w14:textId="77777777" w:rsidR="00F10BCA" w:rsidRDefault="00BD0B01">
      <w:pPr>
        <w:pStyle w:val="H2EN"/>
      </w:pPr>
      <w:r>
        <w:rPr>
          <w:sz w:val="21"/>
        </w:rPr>
        <w:t>2.1 Applicability and Risk-based Enhancements</w:t>
      </w:r>
    </w:p>
    <w:p w14:paraId="50F80CD9" w14:textId="77777777" w:rsidR="00F10BCA" w:rsidRDefault="00BD0B01">
      <w:pPr>
        <w:pStyle w:val="Body"/>
      </w:pPr>
      <w:r>
        <w:rPr>
          <w:sz w:val="21"/>
        </w:rPr>
        <w:t xml:space="preserve">PSIRT </w:t>
      </w:r>
      <w:r>
        <w:rPr>
          <w:sz w:val="21"/>
        </w:rPr>
        <w:t>應依產品情境、產品風險評估、支援</w:t>
      </w:r>
      <w:proofErr w:type="gramStart"/>
      <w:r>
        <w:rPr>
          <w:sz w:val="21"/>
        </w:rPr>
        <w:t>期間、</w:t>
      </w:r>
      <w:proofErr w:type="gramEnd"/>
      <w:r>
        <w:rPr>
          <w:sz w:val="21"/>
        </w:rPr>
        <w:t>部署規模、預期使用環境、法規適用性與可能社會影響，判定本程序及相關下階作業文件之適用程度。</w:t>
      </w:r>
    </w:p>
    <w:p w14:paraId="5711C948" w14:textId="77777777" w:rsidR="00F10BCA" w:rsidRDefault="00BD0B01">
      <w:pPr>
        <w:pStyle w:val="BodyEN"/>
      </w:pPr>
      <w:r>
        <w:rPr>
          <w:sz w:val="21"/>
        </w:rPr>
        <w:t xml:space="preserve">PSIRT should determine the suitability of the procedure and related business documents according to </w:t>
      </w:r>
      <w:r>
        <w:rPr>
          <w:sz w:val="21"/>
        </w:rPr>
        <w:t>the product situation, the risk assessment of the product, the duration of the support, the scale of deployment, the expected use of the environment, the adequacy of the law and possible social impacts.</w:t>
      </w:r>
    </w:p>
    <w:p w14:paraId="6063B0F0" w14:textId="77777777" w:rsidR="00F10BCA" w:rsidRDefault="00BD0B01">
      <w:pPr>
        <w:pStyle w:val="Body"/>
      </w:pPr>
      <w:r>
        <w:rPr>
          <w:sz w:val="21"/>
        </w:rPr>
        <w:t>若產品風險評估顯示需採取較高嚴謹度，應於產品或案件紀錄中保留加嚴要求之適用性判定。加嚴要求可包含但不限於安</w:t>
      </w:r>
      <w:r>
        <w:rPr>
          <w:sz w:val="21"/>
        </w:rPr>
        <w:t>全通訊、</w:t>
      </w:r>
      <w:r>
        <w:rPr>
          <w:sz w:val="21"/>
        </w:rPr>
        <w:t xml:space="preserve">SBOM </w:t>
      </w:r>
      <w:r>
        <w:rPr>
          <w:sz w:val="21"/>
        </w:rPr>
        <w:t>完整性、軟體元件</w:t>
      </w:r>
      <w:r>
        <w:rPr>
          <w:sz w:val="21"/>
        </w:rPr>
        <w:t xml:space="preserve"> hash</w:t>
      </w:r>
      <w:r>
        <w:rPr>
          <w:sz w:val="21"/>
        </w:rPr>
        <w:t>、</w:t>
      </w:r>
      <w:r>
        <w:rPr>
          <w:sz w:val="21"/>
        </w:rPr>
        <w:t>machine-readable advisory</w:t>
      </w:r>
      <w:r>
        <w:rPr>
          <w:sz w:val="21"/>
        </w:rPr>
        <w:t>、較高頻率之監控、測試、審查與客戶通知。</w:t>
      </w:r>
    </w:p>
    <w:p w14:paraId="6B87C299" w14:textId="77777777" w:rsidR="00F10BCA" w:rsidRDefault="00BD0B01">
      <w:pPr>
        <w:pStyle w:val="BodyEN"/>
      </w:pPr>
      <w:r>
        <w:rPr>
          <w:sz w:val="21"/>
        </w:rPr>
        <w:t xml:space="preserve">If a product risk assessment reveals a need for greater vigilance, it should be appropriate to retain the more demanding suitability determination in the product or case record. Stricter </w:t>
      </w:r>
      <w:r>
        <w:rPr>
          <w:sz w:val="21"/>
        </w:rPr>
        <w:t>requirements may include, but are not limited to, security communications, SBOM integrity, software components Hash, Machine-readable information, higher frequency surveillance, testing, censorship and client notification.</w:t>
      </w:r>
    </w:p>
    <w:p w14:paraId="52415880" w14:textId="77777777" w:rsidR="00F10BCA" w:rsidRDefault="00BD0B01">
      <w:pPr>
        <w:pStyle w:val="H1"/>
      </w:pPr>
      <w:r>
        <w:rPr>
          <w:sz w:val="21"/>
        </w:rPr>
        <w:t xml:space="preserve">3. </w:t>
      </w:r>
      <w:r>
        <w:rPr>
          <w:sz w:val="21"/>
        </w:rPr>
        <w:t>程序原則</w:t>
      </w:r>
      <w:r>
        <w:rPr>
          <w:sz w:val="21"/>
        </w:rPr>
        <w:t xml:space="preserve"> Governing Principles</w:t>
      </w:r>
    </w:p>
    <w:p w14:paraId="2FECF626" w14:textId="77777777" w:rsidR="00F10BCA" w:rsidRDefault="00BD0B01">
      <w:pPr>
        <w:pStyle w:val="H1EN"/>
      </w:pPr>
      <w:r>
        <w:rPr>
          <w:sz w:val="21"/>
        </w:rPr>
        <w:t>3. G</w:t>
      </w:r>
      <w:r>
        <w:rPr>
          <w:sz w:val="21"/>
        </w:rPr>
        <w:t>overning Principles</w:t>
      </w:r>
    </w:p>
    <w:p w14:paraId="30ABECDE" w14:textId="77777777" w:rsidR="00F10BCA" w:rsidRDefault="00BD0B01">
      <w:pPr>
        <w:pStyle w:val="af"/>
      </w:pPr>
      <w:r>
        <w:rPr>
          <w:sz w:val="21"/>
        </w:rPr>
        <w:t>單一窗口</w:t>
      </w:r>
    </w:p>
    <w:p w14:paraId="4EAACB0D" w14:textId="77777777" w:rsidR="00F10BCA" w:rsidRDefault="00BD0B01">
      <w:pPr>
        <w:pStyle w:val="BodyEN"/>
      </w:pPr>
      <w:r>
        <w:rPr>
          <w:sz w:val="21"/>
        </w:rPr>
        <w:t>Single Window</w:t>
      </w:r>
    </w:p>
    <w:p w14:paraId="093C99BA" w14:textId="77777777" w:rsidR="00F10BCA" w:rsidRDefault="00BD0B01">
      <w:pPr>
        <w:pStyle w:val="Body"/>
      </w:pPr>
      <w:r>
        <w:rPr>
          <w:sz w:val="21"/>
        </w:rPr>
        <w:t>對外之弱點受理與協調揭露由</w:t>
      </w:r>
      <w:r>
        <w:rPr>
          <w:sz w:val="21"/>
        </w:rPr>
        <w:t xml:space="preserve"> PSIRT </w:t>
      </w:r>
      <w:r>
        <w:rPr>
          <w:sz w:val="21"/>
        </w:rPr>
        <w:t>統一窗口處理，避免重複承諾或口徑不一致。</w:t>
      </w:r>
    </w:p>
    <w:p w14:paraId="74E22C8A" w14:textId="77777777" w:rsidR="00F10BCA" w:rsidRDefault="00BD0B01">
      <w:pPr>
        <w:pStyle w:val="BodyEN"/>
      </w:pPr>
      <w:r>
        <w:rPr>
          <w:sz w:val="21"/>
        </w:rPr>
        <w:t>External vulnerability intake and coordinated disclosure shall be handled by PSIRT through a single point of contact to avoid duplicate commitments or inconsistent messaging.</w:t>
      </w:r>
    </w:p>
    <w:p w14:paraId="23D39E46" w14:textId="77777777" w:rsidR="00F10BCA" w:rsidRDefault="00BD0B01">
      <w:pPr>
        <w:pStyle w:val="af"/>
      </w:pPr>
      <w:r>
        <w:rPr>
          <w:sz w:val="21"/>
        </w:rPr>
        <w:t>最</w:t>
      </w:r>
      <w:r>
        <w:rPr>
          <w:sz w:val="21"/>
        </w:rPr>
        <w:t>小必要揭露</w:t>
      </w:r>
    </w:p>
    <w:p w14:paraId="086BABE4" w14:textId="77777777" w:rsidR="00F10BCA" w:rsidRDefault="00BD0B01">
      <w:pPr>
        <w:pStyle w:val="BodyEN"/>
      </w:pPr>
      <w:r>
        <w:rPr>
          <w:sz w:val="21"/>
        </w:rPr>
        <w:t>The least necessary to expose</w:t>
      </w:r>
    </w:p>
    <w:p w14:paraId="25ADEFBE" w14:textId="77777777" w:rsidR="00F10BCA" w:rsidRDefault="00BD0B01">
      <w:pPr>
        <w:pStyle w:val="Body"/>
      </w:pPr>
      <w:r>
        <w:rPr>
          <w:sz w:val="21"/>
        </w:rPr>
        <w:t>在修補或風險控制完成前，僅共享完成驗證、修補、通知與法</w:t>
      </w:r>
      <w:proofErr w:type="gramStart"/>
      <w:r>
        <w:rPr>
          <w:sz w:val="21"/>
        </w:rPr>
        <w:t>遵</w:t>
      </w:r>
      <w:proofErr w:type="gramEnd"/>
      <w:r>
        <w:rPr>
          <w:sz w:val="21"/>
        </w:rPr>
        <w:t>所需之最小資訊，避免過早揭露可武器化細節。</w:t>
      </w:r>
    </w:p>
    <w:p w14:paraId="1CD3226B" w14:textId="77777777" w:rsidR="00F10BCA" w:rsidRDefault="00BD0B01">
      <w:pPr>
        <w:pStyle w:val="BodyEN"/>
      </w:pPr>
      <w:r>
        <w:rPr>
          <w:sz w:val="21"/>
        </w:rPr>
        <w:t>Before remediation or risk control is completed, only the minimum information necessary for verification, remediation, notification, and compliance shall be shared to avo</w:t>
      </w:r>
      <w:r>
        <w:rPr>
          <w:sz w:val="21"/>
        </w:rPr>
        <w:t>id premature disclosure of weaponizable details.</w:t>
      </w:r>
    </w:p>
    <w:p w14:paraId="6ADC26E7" w14:textId="77777777" w:rsidR="00F10BCA" w:rsidRDefault="00BD0B01">
      <w:pPr>
        <w:pStyle w:val="af"/>
      </w:pPr>
      <w:r>
        <w:rPr>
          <w:sz w:val="21"/>
        </w:rPr>
        <w:t>產品導向影響評估</w:t>
      </w:r>
    </w:p>
    <w:p w14:paraId="1ACD696D" w14:textId="77777777" w:rsidR="00F10BCA" w:rsidRDefault="00BD0B01">
      <w:pPr>
        <w:pStyle w:val="BodyEN"/>
      </w:pPr>
      <w:r>
        <w:rPr>
          <w:sz w:val="21"/>
        </w:rPr>
        <w:t>Product direction impact assessment</w:t>
      </w:r>
    </w:p>
    <w:p w14:paraId="555237AA" w14:textId="77777777" w:rsidR="00F10BCA" w:rsidRDefault="00BD0B01">
      <w:pPr>
        <w:pStyle w:val="Body"/>
      </w:pPr>
      <w:r>
        <w:rPr>
          <w:sz w:val="21"/>
        </w:rPr>
        <w:t>弱點分析須識別受影響之</w:t>
      </w:r>
      <w:r>
        <w:rPr>
          <w:sz w:val="21"/>
        </w:rPr>
        <w:t xml:space="preserve"> product family</w:t>
      </w:r>
      <w:r>
        <w:rPr>
          <w:sz w:val="21"/>
        </w:rPr>
        <w:t>、型號、平台、</w:t>
      </w:r>
      <w:r>
        <w:rPr>
          <w:sz w:val="21"/>
        </w:rPr>
        <w:t>BOM variant</w:t>
      </w:r>
      <w:r>
        <w:rPr>
          <w:sz w:val="21"/>
        </w:rPr>
        <w:t>、軟體</w:t>
      </w:r>
      <w:r>
        <w:rPr>
          <w:sz w:val="21"/>
        </w:rPr>
        <w:t>/</w:t>
      </w:r>
      <w:r>
        <w:rPr>
          <w:sz w:val="21"/>
        </w:rPr>
        <w:t>韌體版本與支援狀態，不能僅停留在</w:t>
      </w:r>
      <w:r>
        <w:rPr>
          <w:sz w:val="21"/>
        </w:rPr>
        <w:t xml:space="preserve"> CVE </w:t>
      </w:r>
      <w:r>
        <w:rPr>
          <w:sz w:val="21"/>
        </w:rPr>
        <w:t>或元件名稱層級。</w:t>
      </w:r>
    </w:p>
    <w:p w14:paraId="4E2E5005" w14:textId="77777777" w:rsidR="00F10BCA" w:rsidRDefault="00BD0B01">
      <w:pPr>
        <w:pStyle w:val="BodyEN"/>
      </w:pPr>
      <w:r>
        <w:rPr>
          <w:sz w:val="21"/>
        </w:rPr>
        <w:t>Weakness analysis requires identification family, models, platforms, BOM varant, sof</w:t>
      </w:r>
      <w:r>
        <w:rPr>
          <w:sz w:val="21"/>
        </w:rPr>
        <w:t>tware/software versions and support status, and cannot remain at the CVE or widget name level alone.</w:t>
      </w:r>
    </w:p>
    <w:p w14:paraId="61C0B2CC" w14:textId="77777777" w:rsidR="00F10BCA" w:rsidRDefault="00BD0B01">
      <w:pPr>
        <w:pStyle w:val="af"/>
      </w:pPr>
      <w:r>
        <w:rPr>
          <w:sz w:val="21"/>
        </w:rPr>
        <w:t>供應鏈協調</w:t>
      </w:r>
    </w:p>
    <w:p w14:paraId="389813ED" w14:textId="77777777" w:rsidR="00F10BCA" w:rsidRDefault="00BD0B01">
      <w:pPr>
        <w:pStyle w:val="BodyEN"/>
      </w:pPr>
      <w:r>
        <w:rPr>
          <w:sz w:val="21"/>
        </w:rPr>
        <w:t>Supply chain coordination</w:t>
      </w:r>
    </w:p>
    <w:p w14:paraId="3D414071" w14:textId="77777777" w:rsidR="00F10BCA" w:rsidRDefault="00BD0B01">
      <w:pPr>
        <w:pStyle w:val="Body"/>
      </w:pPr>
      <w:r>
        <w:rPr>
          <w:sz w:val="21"/>
        </w:rPr>
        <w:t>涉及第三方元件、上游供應商、</w:t>
      </w:r>
      <w:r>
        <w:rPr>
          <w:sz w:val="21"/>
        </w:rPr>
        <w:t xml:space="preserve">ODM/OEM </w:t>
      </w:r>
      <w:r>
        <w:rPr>
          <w:sz w:val="21"/>
        </w:rPr>
        <w:t>客戶或品牌客戶時，應啟動受控協調流程。</w:t>
      </w:r>
    </w:p>
    <w:p w14:paraId="0B52049F" w14:textId="77777777" w:rsidR="00F10BCA" w:rsidRDefault="00BD0B01">
      <w:pPr>
        <w:pStyle w:val="BodyEN"/>
      </w:pPr>
      <w:r>
        <w:rPr>
          <w:sz w:val="21"/>
        </w:rPr>
        <w:t xml:space="preserve">Controlled coordination processes should be initiated when third-party </w:t>
      </w:r>
      <w:r>
        <w:rPr>
          <w:sz w:val="21"/>
        </w:rPr>
        <w:t xml:space="preserve">components, upstream suppliers, ODM/OEM clients </w:t>
      </w:r>
      <w:r>
        <w:rPr>
          <w:sz w:val="21"/>
        </w:rPr>
        <w:lastRenderedPageBreak/>
        <w:t>or brand customers are involved.</w:t>
      </w:r>
    </w:p>
    <w:p w14:paraId="64880BDF" w14:textId="77777777" w:rsidR="00F10BCA" w:rsidRDefault="00BD0B01">
      <w:pPr>
        <w:pStyle w:val="af"/>
      </w:pPr>
      <w:r>
        <w:rPr>
          <w:sz w:val="21"/>
        </w:rPr>
        <w:t>風險導向處理</w:t>
      </w:r>
    </w:p>
    <w:p w14:paraId="523C481F" w14:textId="77777777" w:rsidR="00F10BCA" w:rsidRDefault="00BD0B01">
      <w:pPr>
        <w:pStyle w:val="BodyEN"/>
      </w:pPr>
      <w:r>
        <w:rPr>
          <w:sz w:val="21"/>
        </w:rPr>
        <w:t>Risk direction.</w:t>
      </w:r>
    </w:p>
    <w:p w14:paraId="6DA7AC7E" w14:textId="77777777" w:rsidR="00F10BCA" w:rsidRDefault="00BD0B01">
      <w:pPr>
        <w:pStyle w:val="Body"/>
      </w:pPr>
      <w:r>
        <w:rPr>
          <w:sz w:val="21"/>
        </w:rPr>
        <w:t>依</w:t>
      </w:r>
      <w:r>
        <w:rPr>
          <w:sz w:val="21"/>
        </w:rPr>
        <w:t xml:space="preserve"> CVSS</w:t>
      </w:r>
      <w:r>
        <w:rPr>
          <w:sz w:val="21"/>
        </w:rPr>
        <w:t>、可利用性、是否已有</w:t>
      </w:r>
      <w:r>
        <w:rPr>
          <w:sz w:val="21"/>
        </w:rPr>
        <w:t xml:space="preserve"> exploit</w:t>
      </w:r>
      <w:r>
        <w:rPr>
          <w:sz w:val="21"/>
        </w:rPr>
        <w:t>、受影響產品數量、營運或安全衝擊、可替代緩解措施等因素決定處理優先序。</w:t>
      </w:r>
    </w:p>
    <w:p w14:paraId="549158CE" w14:textId="77777777" w:rsidR="00F10BCA" w:rsidRDefault="00BD0B01">
      <w:pPr>
        <w:pStyle w:val="BodyEN"/>
      </w:pPr>
      <w:r>
        <w:rPr>
          <w:sz w:val="21"/>
        </w:rPr>
        <w:t>The decision is based on factors such as CVSS, availability, availability, availability, num</w:t>
      </w:r>
      <w:r>
        <w:rPr>
          <w:sz w:val="21"/>
        </w:rPr>
        <w:t>ber of affected products, operation or security impacts, and alternative mitigation measures.</w:t>
      </w:r>
    </w:p>
    <w:p w14:paraId="6708BA90" w14:textId="77777777" w:rsidR="00F10BCA" w:rsidRDefault="00BD0B01">
      <w:pPr>
        <w:pStyle w:val="af"/>
      </w:pPr>
      <w:r>
        <w:rPr>
          <w:sz w:val="21"/>
        </w:rPr>
        <w:t xml:space="preserve">Jira </w:t>
      </w:r>
      <w:r>
        <w:rPr>
          <w:sz w:val="21"/>
        </w:rPr>
        <w:t>留痕</w:t>
      </w:r>
    </w:p>
    <w:p w14:paraId="54EA1D73" w14:textId="77777777" w:rsidR="00F10BCA" w:rsidRDefault="00BD0B01">
      <w:pPr>
        <w:pStyle w:val="BodyEN"/>
      </w:pPr>
      <w:r>
        <w:rPr>
          <w:sz w:val="21"/>
        </w:rPr>
        <w:t>Jira.</w:t>
      </w:r>
    </w:p>
    <w:p w14:paraId="34789746" w14:textId="77777777" w:rsidR="00F10BCA" w:rsidRDefault="00BD0B01">
      <w:pPr>
        <w:pStyle w:val="Body"/>
      </w:pPr>
      <w:r>
        <w:rPr>
          <w:sz w:val="21"/>
        </w:rPr>
        <w:t>所有關鍵判定、核准、例外、對外溝通摘要與證據</w:t>
      </w:r>
      <w:proofErr w:type="gramStart"/>
      <w:r>
        <w:rPr>
          <w:sz w:val="21"/>
        </w:rPr>
        <w:t>連結均應記錄</w:t>
      </w:r>
      <w:proofErr w:type="gramEnd"/>
      <w:r>
        <w:rPr>
          <w:sz w:val="21"/>
        </w:rPr>
        <w:t>於</w:t>
      </w:r>
      <w:r>
        <w:rPr>
          <w:sz w:val="21"/>
        </w:rPr>
        <w:t xml:space="preserve"> Jira </w:t>
      </w:r>
      <w:r>
        <w:rPr>
          <w:sz w:val="21"/>
        </w:rPr>
        <w:t>主案件中。</w:t>
      </w:r>
    </w:p>
    <w:p w14:paraId="115031BF" w14:textId="77777777" w:rsidR="00F10BCA" w:rsidRDefault="00BD0B01">
      <w:pPr>
        <w:pStyle w:val="BodyEN"/>
      </w:pPr>
      <w:r>
        <w:rPr>
          <w:sz w:val="21"/>
        </w:rPr>
        <w:t>All key determinations, approvals, exceptions, external communication summaries, and evidence links shall b</w:t>
      </w:r>
      <w:r>
        <w:rPr>
          <w:sz w:val="21"/>
        </w:rPr>
        <w:t>e recorded in the master Jira case.</w:t>
      </w:r>
    </w:p>
    <w:p w14:paraId="4C9133A5" w14:textId="77777777" w:rsidR="00F10BCA" w:rsidRDefault="00BD0B01">
      <w:pPr>
        <w:pStyle w:val="af"/>
      </w:pPr>
      <w:r>
        <w:rPr>
          <w:sz w:val="21"/>
        </w:rPr>
        <w:t>法</w:t>
      </w:r>
      <w:proofErr w:type="gramStart"/>
      <w:r>
        <w:rPr>
          <w:sz w:val="21"/>
        </w:rPr>
        <w:t>遵</w:t>
      </w:r>
      <w:proofErr w:type="gramEnd"/>
      <w:r>
        <w:rPr>
          <w:sz w:val="21"/>
        </w:rPr>
        <w:t>優先</w:t>
      </w:r>
    </w:p>
    <w:p w14:paraId="797710D0" w14:textId="77777777" w:rsidR="00F10BCA" w:rsidRDefault="00BD0B01">
      <w:pPr>
        <w:pStyle w:val="BodyEN"/>
      </w:pPr>
      <w:r>
        <w:rPr>
          <w:sz w:val="21"/>
        </w:rPr>
        <w:t>The law prevails.</w:t>
      </w:r>
    </w:p>
    <w:p w14:paraId="67CCED87" w14:textId="77777777" w:rsidR="00F10BCA" w:rsidRDefault="00BD0B01">
      <w:pPr>
        <w:pStyle w:val="Body"/>
      </w:pPr>
      <w:r>
        <w:rPr>
          <w:sz w:val="21"/>
        </w:rPr>
        <w:t>若案件同時觸發</w:t>
      </w:r>
      <w:r>
        <w:rPr>
          <w:sz w:val="21"/>
        </w:rPr>
        <w:t xml:space="preserve"> CRA </w:t>
      </w:r>
      <w:r>
        <w:rPr>
          <w:sz w:val="21"/>
        </w:rPr>
        <w:t>或其他法定通報義務，法定時限優先於一般弱點處理目標。</w:t>
      </w:r>
    </w:p>
    <w:p w14:paraId="3BC13886" w14:textId="77777777" w:rsidR="00F10BCA" w:rsidRDefault="00BD0B01">
      <w:pPr>
        <w:pStyle w:val="BodyEN"/>
      </w:pPr>
      <w:r>
        <w:rPr>
          <w:sz w:val="21"/>
        </w:rPr>
        <w:t>If at the same time the case triggers a CRA or other statutory reporting obligation, the statutory time limit takes precedence over the general weakness targe</w:t>
      </w:r>
      <w:r>
        <w:rPr>
          <w:sz w:val="21"/>
        </w:rPr>
        <w:t>t.</w:t>
      </w:r>
    </w:p>
    <w:p w14:paraId="7EA23668" w14:textId="77777777" w:rsidR="00F10BCA" w:rsidRDefault="00BD0B01">
      <w:pPr>
        <w:pStyle w:val="af"/>
      </w:pPr>
      <w:r>
        <w:rPr>
          <w:sz w:val="21"/>
        </w:rPr>
        <w:t>準備優先</w:t>
      </w:r>
    </w:p>
    <w:p w14:paraId="300E29CB" w14:textId="77777777" w:rsidR="00F10BCA" w:rsidRDefault="00BD0B01">
      <w:pPr>
        <w:pStyle w:val="BodyEN"/>
      </w:pPr>
      <w:r>
        <w:rPr>
          <w:sz w:val="21"/>
        </w:rPr>
        <w:t>Get ready first.</w:t>
      </w:r>
    </w:p>
    <w:p w14:paraId="2A662DE2" w14:textId="77777777" w:rsidR="00F10BCA" w:rsidRDefault="00BD0B01">
      <w:pPr>
        <w:pStyle w:val="Body"/>
      </w:pPr>
      <w:r>
        <w:rPr>
          <w:sz w:val="21"/>
        </w:rPr>
        <w:t>弱點處理能力不應僅於案件發生後啟動；產品識別、元件盤點、通報通道、監控來源、定期測試與審查計畫，應於產品支援期間內持續維護。</w:t>
      </w:r>
    </w:p>
    <w:p w14:paraId="2CFB087A" w14:textId="77777777" w:rsidR="00F10BCA" w:rsidRDefault="00BD0B01">
      <w:pPr>
        <w:pStyle w:val="BodyEN"/>
      </w:pPr>
      <w:r>
        <w:rPr>
          <w:sz w:val="21"/>
        </w:rPr>
        <w:t>Weaknesses should not only be activated after the case has occurred; product recognition, component counts, communication channels, monitoring of sources, periodic test</w:t>
      </w:r>
      <w:r>
        <w:rPr>
          <w:sz w:val="21"/>
        </w:rPr>
        <w:t>ing and vetting programmes should be sustained during the period of support for the product.</w:t>
      </w:r>
    </w:p>
    <w:p w14:paraId="3580EDD6" w14:textId="77777777" w:rsidR="00F10BCA" w:rsidRDefault="00BD0B01">
      <w:pPr>
        <w:pStyle w:val="H2"/>
      </w:pPr>
      <w:r>
        <w:rPr>
          <w:sz w:val="21"/>
        </w:rPr>
        <w:t xml:space="preserve">3.1 </w:t>
      </w:r>
      <w:r>
        <w:rPr>
          <w:sz w:val="21"/>
        </w:rPr>
        <w:t>準備能力</w:t>
      </w:r>
      <w:r>
        <w:rPr>
          <w:sz w:val="21"/>
        </w:rPr>
        <w:t xml:space="preserve"> Preparedness Capabilities</w:t>
      </w:r>
    </w:p>
    <w:p w14:paraId="2E310974" w14:textId="77777777" w:rsidR="00F10BCA" w:rsidRDefault="00BD0B01">
      <w:pPr>
        <w:pStyle w:val="H2EN"/>
      </w:pPr>
      <w:r>
        <w:rPr>
          <w:sz w:val="21"/>
        </w:rPr>
        <w:t>3.1 Preparedness Capabilities</w:t>
      </w:r>
    </w:p>
    <w:p w14:paraId="2A447165" w14:textId="77777777" w:rsidR="00F10BCA" w:rsidRDefault="00BD0B01">
      <w:pPr>
        <w:pStyle w:val="Body"/>
      </w:pPr>
      <w:r>
        <w:rPr>
          <w:sz w:val="21"/>
        </w:rPr>
        <w:t>為支援弱點受理、影響分析、修補決策、揭露與法規符合性，</w:t>
      </w:r>
      <w:r>
        <w:rPr>
          <w:sz w:val="21"/>
        </w:rPr>
        <w:t xml:space="preserve">IEI </w:t>
      </w:r>
      <w:r>
        <w:rPr>
          <w:sz w:val="21"/>
        </w:rPr>
        <w:t>應建立並維護下列準備能力：</w:t>
      </w:r>
    </w:p>
    <w:p w14:paraId="1EBF09C2" w14:textId="77777777" w:rsidR="00F10BCA" w:rsidRDefault="00BD0B01">
      <w:pPr>
        <w:pStyle w:val="BodyEN"/>
      </w:pPr>
      <w:r>
        <w:rPr>
          <w:sz w:val="21"/>
        </w:rPr>
        <w:t xml:space="preserve">IEI should build and maintain the following preparedness capabilities to support vulnerability processing, impact analysis, decision-making, disclosure and legal </w:t>
      </w:r>
      <w:proofErr w:type="gramStart"/>
      <w:r>
        <w:rPr>
          <w:sz w:val="21"/>
        </w:rPr>
        <w:t>compliance::</w:t>
      </w:r>
      <w:proofErr w:type="gramEnd"/>
      <w:r>
        <w:rPr>
          <w:sz w:val="21"/>
        </w:rPr>
        <w:t xml:space="preserve"> </w:t>
      </w:r>
    </w:p>
    <w:p w14:paraId="21E617B1" w14:textId="77777777" w:rsidR="00F10BCA" w:rsidRDefault="00BD0B01">
      <w:pPr>
        <w:pStyle w:val="af"/>
      </w:pPr>
      <w:r>
        <w:rPr>
          <w:sz w:val="21"/>
        </w:rPr>
        <w:t>產品識別能力</w:t>
      </w:r>
    </w:p>
    <w:p w14:paraId="1327AE55" w14:textId="77777777" w:rsidR="00F10BCA" w:rsidRDefault="00BD0B01">
      <w:pPr>
        <w:pStyle w:val="BodyEN"/>
      </w:pPr>
      <w:r>
        <w:rPr>
          <w:sz w:val="21"/>
        </w:rPr>
        <w:t>Product recognition</w:t>
      </w:r>
    </w:p>
    <w:p w14:paraId="74579BDD" w14:textId="77777777" w:rsidR="00F10BCA" w:rsidRDefault="00BD0B01">
      <w:pPr>
        <w:pStyle w:val="Body"/>
      </w:pPr>
      <w:r>
        <w:rPr>
          <w:sz w:val="21"/>
        </w:rPr>
        <w:t>應能識別</w:t>
      </w:r>
      <w:r>
        <w:rPr>
          <w:sz w:val="21"/>
        </w:rPr>
        <w:t xml:space="preserve"> manufacturer name</w:t>
      </w:r>
      <w:r>
        <w:rPr>
          <w:sz w:val="21"/>
        </w:rPr>
        <w:t>、</w:t>
      </w:r>
      <w:r>
        <w:rPr>
          <w:sz w:val="21"/>
        </w:rPr>
        <w:t>product name</w:t>
      </w:r>
      <w:r>
        <w:rPr>
          <w:sz w:val="21"/>
        </w:rPr>
        <w:t>、產品型號、硬體版本、軟體</w:t>
      </w:r>
      <w:r>
        <w:rPr>
          <w:sz w:val="21"/>
        </w:rPr>
        <w:t>/</w:t>
      </w:r>
      <w:r>
        <w:rPr>
          <w:sz w:val="21"/>
        </w:rPr>
        <w:t>韌體版本</w:t>
      </w:r>
      <w:r>
        <w:rPr>
          <w:sz w:val="21"/>
        </w:rPr>
        <w:t>、平台、</w:t>
      </w:r>
      <w:r>
        <w:rPr>
          <w:sz w:val="21"/>
        </w:rPr>
        <w:t xml:space="preserve">BOM variant </w:t>
      </w:r>
      <w:r>
        <w:rPr>
          <w:sz w:val="21"/>
        </w:rPr>
        <w:t>與支援狀態。若產品同時包含硬體與軟體，應能分別提供硬體與軟體識別資訊。</w:t>
      </w:r>
    </w:p>
    <w:p w14:paraId="600354D6" w14:textId="77777777" w:rsidR="00F10BCA" w:rsidRDefault="00BD0B01">
      <w:pPr>
        <w:pStyle w:val="BodyEN"/>
      </w:pPr>
      <w:r>
        <w:rPr>
          <w:sz w:val="21"/>
        </w:rPr>
        <w:t>They can identify manufacturer name, program name, product model, hard version, software/software version, platform, BOM varant and support status. If the product contains both hardware and software, it s</w:t>
      </w:r>
      <w:r>
        <w:rPr>
          <w:sz w:val="21"/>
        </w:rPr>
        <w:t>hould provide hardware and software awareness information separately.</w:t>
      </w:r>
    </w:p>
    <w:p w14:paraId="7ADA70C7" w14:textId="77777777" w:rsidR="00F10BCA" w:rsidRDefault="00BD0B01">
      <w:pPr>
        <w:pStyle w:val="af"/>
      </w:pPr>
      <w:r>
        <w:rPr>
          <w:sz w:val="21"/>
        </w:rPr>
        <w:t>軟體元件識別與</w:t>
      </w:r>
      <w:r>
        <w:rPr>
          <w:sz w:val="21"/>
        </w:rPr>
        <w:t xml:space="preserve"> SBOM </w:t>
      </w:r>
      <w:r>
        <w:rPr>
          <w:sz w:val="21"/>
        </w:rPr>
        <w:t>能力</w:t>
      </w:r>
    </w:p>
    <w:p w14:paraId="292576BC" w14:textId="77777777" w:rsidR="00F10BCA" w:rsidRDefault="00BD0B01">
      <w:pPr>
        <w:pStyle w:val="BodyEN"/>
      </w:pPr>
      <w:r>
        <w:rPr>
          <w:sz w:val="21"/>
        </w:rPr>
        <w:t>Software Component Awareness and SBOM Capability</w:t>
      </w:r>
    </w:p>
    <w:p w14:paraId="1D48C844" w14:textId="77777777" w:rsidR="00F10BCA" w:rsidRDefault="00BD0B01">
      <w:pPr>
        <w:pStyle w:val="Body"/>
      </w:pPr>
      <w:r>
        <w:rPr>
          <w:sz w:val="21"/>
        </w:rPr>
        <w:lastRenderedPageBreak/>
        <w:t>支援期間內之適用產品應建立並維護軟體元件清單或</w:t>
      </w:r>
      <w:r>
        <w:rPr>
          <w:sz w:val="21"/>
        </w:rPr>
        <w:t xml:space="preserve"> SBOM</w:t>
      </w:r>
      <w:r>
        <w:rPr>
          <w:sz w:val="21"/>
        </w:rPr>
        <w:t>，以支援第三方元件弱點監控、影響分析、修補範圍判定與稽核證據。</w:t>
      </w:r>
      <w:r>
        <w:rPr>
          <w:sz w:val="21"/>
        </w:rPr>
        <w:t xml:space="preserve">SBOM </w:t>
      </w:r>
      <w:r>
        <w:rPr>
          <w:sz w:val="21"/>
        </w:rPr>
        <w:t>應</w:t>
      </w:r>
      <w:proofErr w:type="gramStart"/>
      <w:r>
        <w:rPr>
          <w:sz w:val="21"/>
        </w:rPr>
        <w:t>採</w:t>
      </w:r>
      <w:proofErr w:type="gramEnd"/>
      <w:r>
        <w:rPr>
          <w:sz w:val="21"/>
        </w:rPr>
        <w:t>結構化且</w:t>
      </w:r>
      <w:r>
        <w:rPr>
          <w:sz w:val="21"/>
        </w:rPr>
        <w:t xml:space="preserve"> machine-readable </w:t>
      </w:r>
      <w:r>
        <w:rPr>
          <w:sz w:val="21"/>
        </w:rPr>
        <w:t>格式；具體格式、欄位、產製工具、更新時機與完整性檢查，應於</w:t>
      </w:r>
      <w:r>
        <w:rPr>
          <w:sz w:val="21"/>
        </w:rPr>
        <w:t xml:space="preserve"> L3 </w:t>
      </w:r>
      <w:r>
        <w:rPr>
          <w:sz w:val="21"/>
        </w:rPr>
        <w:t>作業文件定義。</w:t>
      </w:r>
    </w:p>
    <w:p w14:paraId="0C379480" w14:textId="77777777" w:rsidR="00F10BCA" w:rsidRDefault="00BD0B01">
      <w:pPr>
        <w:pStyle w:val="BodyEN"/>
      </w:pPr>
      <w:r>
        <w:rPr>
          <w:sz w:val="21"/>
        </w:rPr>
        <w:t>The appropriate product during the support period should establish and maintain a list of software components or SBOM to support third-party weakness monitoring, impact analysis, repair scope determination and audit</w:t>
      </w:r>
      <w:r>
        <w:rPr>
          <w:sz w:val="21"/>
        </w:rPr>
        <w:t>ing evidence. SBOM should be structured and formatted in a machanine-readable format; specific formats, columns, production tools, updates and completeness checks should be defined in the L3 business document.</w:t>
      </w:r>
    </w:p>
    <w:p w14:paraId="4B48A407" w14:textId="77777777" w:rsidR="00F10BCA" w:rsidRDefault="00BD0B01">
      <w:pPr>
        <w:pStyle w:val="af"/>
      </w:pPr>
      <w:r>
        <w:rPr>
          <w:sz w:val="21"/>
        </w:rPr>
        <w:t>硬體元件識別與</w:t>
      </w:r>
      <w:r>
        <w:rPr>
          <w:sz w:val="21"/>
        </w:rPr>
        <w:t xml:space="preserve"> HBOM </w:t>
      </w:r>
      <w:r>
        <w:rPr>
          <w:sz w:val="21"/>
        </w:rPr>
        <w:t>能力</w:t>
      </w:r>
    </w:p>
    <w:p w14:paraId="3CC97CDB" w14:textId="77777777" w:rsidR="00F10BCA" w:rsidRDefault="00BD0B01">
      <w:pPr>
        <w:pStyle w:val="BodyEN"/>
      </w:pPr>
      <w:r>
        <w:rPr>
          <w:sz w:val="21"/>
        </w:rPr>
        <w:t>Hardware Component Awareness a</w:t>
      </w:r>
      <w:r>
        <w:rPr>
          <w:sz w:val="21"/>
        </w:rPr>
        <w:t>nd HBOM Capability</w:t>
      </w:r>
    </w:p>
    <w:p w14:paraId="18C7AF02" w14:textId="77777777" w:rsidR="00F10BCA" w:rsidRDefault="00BD0B01">
      <w:pPr>
        <w:pStyle w:val="Body"/>
      </w:pPr>
      <w:r>
        <w:rPr>
          <w:sz w:val="21"/>
        </w:rPr>
        <w:t>對可能影響</w:t>
      </w:r>
      <w:proofErr w:type="gramStart"/>
      <w:r>
        <w:rPr>
          <w:sz w:val="21"/>
        </w:rPr>
        <w:t>產品資安風險</w:t>
      </w:r>
      <w:proofErr w:type="gramEnd"/>
      <w:r>
        <w:rPr>
          <w:sz w:val="21"/>
        </w:rPr>
        <w:t>之硬體、韌體、晶片、模組或安全相關元件，應維護可支援弱點影響分析之硬體元件識別資訊。具體欄位、資料來源與維護方式，應於</w:t>
      </w:r>
      <w:r>
        <w:rPr>
          <w:sz w:val="21"/>
        </w:rPr>
        <w:t xml:space="preserve"> L3 </w:t>
      </w:r>
      <w:r>
        <w:rPr>
          <w:sz w:val="21"/>
        </w:rPr>
        <w:t>作業文件定義。</w:t>
      </w:r>
    </w:p>
    <w:p w14:paraId="3F91A436" w14:textId="77777777" w:rsidR="00F10BCA" w:rsidRDefault="00BD0B01">
      <w:pPr>
        <w:pStyle w:val="BodyEN"/>
      </w:pPr>
      <w:r>
        <w:rPr>
          <w:sz w:val="21"/>
        </w:rPr>
        <w:t>For hard matter, crystal, module or safety-related components that may affect the safety risk of product assets, maintenance should support the identificat</w:t>
      </w:r>
      <w:r>
        <w:rPr>
          <w:sz w:val="21"/>
        </w:rPr>
        <w:t>ion of hard element information for vulnerability analysis. Specific fields, data sources and maintenance methods, as defined in the L3 Job Document.</w:t>
      </w:r>
    </w:p>
    <w:p w14:paraId="51558634" w14:textId="77777777" w:rsidR="00F10BCA" w:rsidRDefault="00BD0B01">
      <w:pPr>
        <w:pStyle w:val="af"/>
      </w:pPr>
      <w:r>
        <w:rPr>
          <w:sz w:val="21"/>
        </w:rPr>
        <w:t>上下游利害關係人映射</w:t>
      </w:r>
    </w:p>
    <w:p w14:paraId="590A69E2" w14:textId="77777777" w:rsidR="00F10BCA" w:rsidRDefault="00BD0B01">
      <w:pPr>
        <w:pStyle w:val="BodyEN"/>
      </w:pPr>
      <w:r>
        <w:rPr>
          <w:sz w:val="21"/>
        </w:rPr>
        <w:t>Map of upstream and downstream stakeholders</w:t>
      </w:r>
    </w:p>
    <w:p w14:paraId="7F8CD9A4" w14:textId="77777777" w:rsidR="00F10BCA" w:rsidRDefault="00BD0B01">
      <w:pPr>
        <w:pStyle w:val="Body"/>
      </w:pPr>
      <w:r>
        <w:rPr>
          <w:sz w:val="21"/>
        </w:rPr>
        <w:t>應維護足以支援協調、通知與法規判定之上游供應商、</w:t>
      </w:r>
      <w:r>
        <w:rPr>
          <w:sz w:val="21"/>
        </w:rPr>
        <w:t>open source dependency</w:t>
      </w:r>
      <w:r>
        <w:rPr>
          <w:sz w:val="21"/>
        </w:rPr>
        <w:t>、</w:t>
      </w:r>
      <w:r>
        <w:rPr>
          <w:sz w:val="21"/>
        </w:rPr>
        <w:t>ODM/</w:t>
      </w:r>
      <w:r>
        <w:rPr>
          <w:sz w:val="21"/>
        </w:rPr>
        <w:t xml:space="preserve">OEM </w:t>
      </w:r>
      <w:r>
        <w:rPr>
          <w:sz w:val="21"/>
        </w:rPr>
        <w:t>客戶、品牌客戶、進口商、經銷商、授權代表與必要協調窗口資訊。</w:t>
      </w:r>
    </w:p>
    <w:p w14:paraId="598660E9" w14:textId="77777777" w:rsidR="00F10BCA" w:rsidRDefault="00BD0B01">
      <w:pPr>
        <w:pStyle w:val="BodyEN"/>
      </w:pPr>
      <w:r>
        <w:rPr>
          <w:sz w:val="21"/>
        </w:rPr>
        <w:t xml:space="preserve">It should be maintained to support upstream providers of coordination, notification and legal determination, </w:t>
      </w:r>
      <w:proofErr w:type="gramStart"/>
      <w:r>
        <w:rPr>
          <w:sz w:val="21"/>
        </w:rPr>
        <w:t>open source</w:t>
      </w:r>
      <w:proofErr w:type="gramEnd"/>
      <w:r>
        <w:rPr>
          <w:sz w:val="21"/>
        </w:rPr>
        <w:t xml:space="preserve"> determination, ODM/OEM clients, brand clients, importers, dealers, authorized representatives and ne</w:t>
      </w:r>
      <w:r>
        <w:rPr>
          <w:sz w:val="21"/>
        </w:rPr>
        <w:t>cessary coordination window information.</w:t>
      </w:r>
    </w:p>
    <w:p w14:paraId="1340C00F" w14:textId="77777777" w:rsidR="00F10BCA" w:rsidRDefault="00BD0B01">
      <w:pPr>
        <w:pStyle w:val="af"/>
      </w:pPr>
      <w:r>
        <w:rPr>
          <w:sz w:val="21"/>
        </w:rPr>
        <w:t>風險式安全測試與審查計畫</w:t>
      </w:r>
    </w:p>
    <w:p w14:paraId="3614CB21" w14:textId="77777777" w:rsidR="00F10BCA" w:rsidRDefault="00BD0B01">
      <w:pPr>
        <w:pStyle w:val="BodyEN"/>
      </w:pPr>
      <w:r>
        <w:rPr>
          <w:sz w:val="21"/>
        </w:rPr>
        <w:t>Risk security testing and vetting.</w:t>
      </w:r>
    </w:p>
    <w:p w14:paraId="56C175FF" w14:textId="77777777" w:rsidR="00F10BCA" w:rsidRDefault="00BD0B01">
      <w:pPr>
        <w:pStyle w:val="Body"/>
      </w:pPr>
      <w:r>
        <w:rPr>
          <w:sz w:val="21"/>
        </w:rPr>
        <w:t>支援期間內之產品應依產品風險建立</w:t>
      </w:r>
      <w:r>
        <w:rPr>
          <w:sz w:val="21"/>
        </w:rPr>
        <w:t xml:space="preserve"> security test and review plan</w:t>
      </w:r>
      <w:r>
        <w:rPr>
          <w:sz w:val="21"/>
        </w:rPr>
        <w:t>，規劃定期弱點掃描、元件弱點檢查、供應商公告審查、威脅情報審查、發布後回饋檢討與至少年度之</w:t>
      </w:r>
      <w:proofErr w:type="gramStart"/>
      <w:r>
        <w:rPr>
          <w:sz w:val="21"/>
        </w:rPr>
        <w:t>產品資安風險</w:t>
      </w:r>
      <w:proofErr w:type="gramEnd"/>
      <w:r>
        <w:rPr>
          <w:sz w:val="21"/>
        </w:rPr>
        <w:t>重評。測試項目、頻率、工具、證據格式與例外處理，應於</w:t>
      </w:r>
      <w:r>
        <w:rPr>
          <w:sz w:val="21"/>
        </w:rPr>
        <w:t xml:space="preserve"> L3 </w:t>
      </w:r>
      <w:r>
        <w:rPr>
          <w:sz w:val="21"/>
        </w:rPr>
        <w:t>作業文件或</w:t>
      </w:r>
      <w:proofErr w:type="gramStart"/>
      <w:r>
        <w:rPr>
          <w:sz w:val="21"/>
        </w:rPr>
        <w:t>產品資安計畫</w:t>
      </w:r>
      <w:proofErr w:type="gramEnd"/>
      <w:r>
        <w:rPr>
          <w:sz w:val="21"/>
        </w:rPr>
        <w:t>中定義。</w:t>
      </w:r>
    </w:p>
    <w:p w14:paraId="56D89CA4" w14:textId="77777777" w:rsidR="00F10BCA" w:rsidRDefault="00BD0B01">
      <w:pPr>
        <w:pStyle w:val="BodyEN"/>
      </w:pPr>
      <w:r>
        <w:rPr>
          <w:sz w:val="21"/>
        </w:rPr>
        <w:t>During the support perio</w:t>
      </w:r>
      <w:r>
        <w:rPr>
          <w:sz w:val="21"/>
        </w:rPr>
        <w:t>d, products should be built based on product risk, with periodic weak spot scans, component weakness checks, vendor announcement reviews, threat intelligence checks, post-distribution review reviews and critical evaluation of product risk at least annually</w:t>
      </w:r>
      <w:r>
        <w:rPr>
          <w:sz w:val="21"/>
        </w:rPr>
        <w:t>. Test items, frequencies, tools, evidence formats and exceptions are defined in L3 business documents or product security programs.</w:t>
      </w:r>
    </w:p>
    <w:p w14:paraId="4EFE13B9" w14:textId="77777777" w:rsidR="00F10BCA" w:rsidRDefault="00BD0B01">
      <w:pPr>
        <w:pStyle w:val="af"/>
      </w:pPr>
      <w:r>
        <w:rPr>
          <w:sz w:val="21"/>
        </w:rPr>
        <w:t>監控來源維護</w:t>
      </w:r>
    </w:p>
    <w:p w14:paraId="04477960" w14:textId="77777777" w:rsidR="00F10BCA" w:rsidRDefault="00BD0B01">
      <w:pPr>
        <w:pStyle w:val="BodyEN"/>
      </w:pPr>
      <w:r>
        <w:rPr>
          <w:sz w:val="21"/>
        </w:rPr>
        <w:t>Surveillance source maintenance</w:t>
      </w:r>
    </w:p>
    <w:p w14:paraId="45081132" w14:textId="77777777" w:rsidR="00F10BCA" w:rsidRDefault="00BD0B01">
      <w:pPr>
        <w:pStyle w:val="Body"/>
      </w:pPr>
      <w:r>
        <w:rPr>
          <w:sz w:val="21"/>
        </w:rPr>
        <w:t xml:space="preserve">PSIRT </w:t>
      </w:r>
      <w:r>
        <w:rPr>
          <w:sz w:val="21"/>
        </w:rPr>
        <w:t>或指定單位應維護弱點監控來源清單，至少涵蓋外部通報、內部測試與審查結果、</w:t>
      </w:r>
      <w:r>
        <w:rPr>
          <w:sz w:val="21"/>
        </w:rPr>
        <w:t>CVE/NVD</w:t>
      </w:r>
      <w:r>
        <w:rPr>
          <w:sz w:val="21"/>
        </w:rPr>
        <w:t>、</w:t>
      </w:r>
      <w:r>
        <w:rPr>
          <w:sz w:val="21"/>
        </w:rPr>
        <w:t>EUVD</w:t>
      </w:r>
      <w:r>
        <w:rPr>
          <w:sz w:val="21"/>
        </w:rPr>
        <w:t>、</w:t>
      </w:r>
      <w:r>
        <w:rPr>
          <w:sz w:val="21"/>
        </w:rPr>
        <w:t>CISA KEV</w:t>
      </w:r>
      <w:r>
        <w:rPr>
          <w:sz w:val="21"/>
        </w:rPr>
        <w:t>、供應商公告、</w:t>
      </w:r>
      <w:r>
        <w:rPr>
          <w:sz w:val="21"/>
        </w:rPr>
        <w:t xml:space="preserve">CERT/CSIRT </w:t>
      </w:r>
      <w:r>
        <w:rPr>
          <w:sz w:val="21"/>
        </w:rPr>
        <w:t>通報、</w:t>
      </w:r>
      <w:r>
        <w:rPr>
          <w:sz w:val="21"/>
        </w:rPr>
        <w:t xml:space="preserve">open source </w:t>
      </w:r>
      <w:r>
        <w:rPr>
          <w:sz w:val="21"/>
        </w:rPr>
        <w:t>維護狀態與第三方元件</w:t>
      </w:r>
      <w:r>
        <w:rPr>
          <w:sz w:val="21"/>
        </w:rPr>
        <w:t xml:space="preserve"> EOS/usage </w:t>
      </w:r>
      <w:r>
        <w:rPr>
          <w:sz w:val="21"/>
        </w:rPr>
        <w:t>風險。</w:t>
      </w:r>
    </w:p>
    <w:p w14:paraId="61888347" w14:textId="77777777" w:rsidR="00F10BCA" w:rsidRDefault="00BD0B01">
      <w:pPr>
        <w:pStyle w:val="BodyEN"/>
      </w:pPr>
      <w:r>
        <w:rPr>
          <w:sz w:val="21"/>
        </w:rPr>
        <w:t>PSIRT, or the list of sources for designated units to protect vulnerable sites, includes at least external information, internal testing and review results, CVE/NVD, EUVD, CISAKEV, supplier announcement, CPT/CSIRT circu</w:t>
      </w:r>
      <w:r>
        <w:rPr>
          <w:sz w:val="21"/>
        </w:rPr>
        <w:t xml:space="preserve">lar, </w:t>
      </w:r>
      <w:proofErr w:type="gramStart"/>
      <w:r>
        <w:rPr>
          <w:sz w:val="21"/>
        </w:rPr>
        <w:t>open source</w:t>
      </w:r>
      <w:proofErr w:type="gramEnd"/>
      <w:r>
        <w:rPr>
          <w:sz w:val="21"/>
        </w:rPr>
        <w:t xml:space="preserve"> maintenance status and risk for third-party components EOS/usage.</w:t>
      </w:r>
    </w:p>
    <w:p w14:paraId="4D212C02" w14:textId="77777777" w:rsidR="00F10BCA" w:rsidRDefault="00BD0B01">
      <w:pPr>
        <w:pStyle w:val="H1"/>
      </w:pPr>
      <w:r>
        <w:rPr>
          <w:sz w:val="21"/>
        </w:rPr>
        <w:t xml:space="preserve">4. </w:t>
      </w:r>
      <w:r>
        <w:rPr>
          <w:sz w:val="21"/>
        </w:rPr>
        <w:t>名詞</w:t>
      </w:r>
      <w:r>
        <w:rPr>
          <w:sz w:val="21"/>
        </w:rPr>
        <w:t xml:space="preserve"> Definitions</w:t>
      </w:r>
    </w:p>
    <w:p w14:paraId="0CA2342D" w14:textId="77777777" w:rsidR="00F10BCA" w:rsidRDefault="00BD0B01">
      <w:pPr>
        <w:pStyle w:val="H1EN"/>
      </w:pPr>
      <w:r>
        <w:rPr>
          <w:sz w:val="21"/>
        </w:rPr>
        <w:lastRenderedPageBreak/>
        <w:t>4. Definitions</w:t>
      </w:r>
    </w:p>
    <w:p w14:paraId="45B867F5" w14:textId="77777777" w:rsidR="00F10BCA" w:rsidRDefault="00BD0B01">
      <w:pPr>
        <w:pStyle w:val="H2"/>
      </w:pPr>
      <w:r>
        <w:rPr>
          <w:sz w:val="21"/>
        </w:rPr>
        <w:t xml:space="preserve">4.1 </w:t>
      </w:r>
      <w:r>
        <w:rPr>
          <w:sz w:val="21"/>
        </w:rPr>
        <w:t>弱點案件</w:t>
      </w:r>
      <w:r>
        <w:rPr>
          <w:sz w:val="21"/>
        </w:rPr>
        <w:t xml:space="preserve"> Vulnerability Case</w:t>
      </w:r>
    </w:p>
    <w:p w14:paraId="4E78F207" w14:textId="77777777" w:rsidR="00F10BCA" w:rsidRDefault="00BD0B01">
      <w:pPr>
        <w:pStyle w:val="H2EN"/>
      </w:pPr>
      <w:r>
        <w:rPr>
          <w:sz w:val="21"/>
        </w:rPr>
        <w:t>4.1 Vulnerability Case</w:t>
      </w:r>
    </w:p>
    <w:p w14:paraId="10E9D016" w14:textId="77777777" w:rsidR="00F10BCA" w:rsidRDefault="00BD0B01">
      <w:pPr>
        <w:pStyle w:val="Body"/>
      </w:pPr>
      <w:r>
        <w:rPr>
          <w:sz w:val="21"/>
        </w:rPr>
        <w:t>指任何已通報、已識別或已驗證，可能影響</w:t>
      </w:r>
      <w:r>
        <w:rPr>
          <w:sz w:val="21"/>
        </w:rPr>
        <w:t xml:space="preserve"> IEI </w:t>
      </w:r>
      <w:r>
        <w:rPr>
          <w:sz w:val="21"/>
        </w:rPr>
        <w:t>產品機密性、完整性、可用性、真實性或安全防護機制之弱點、缺陷或相關安全議題。</w:t>
      </w:r>
    </w:p>
    <w:p w14:paraId="74E091CA" w14:textId="77777777" w:rsidR="00F10BCA" w:rsidRDefault="00BD0B01">
      <w:pPr>
        <w:pStyle w:val="BodyEN"/>
      </w:pPr>
      <w:r>
        <w:rPr>
          <w:sz w:val="21"/>
        </w:rPr>
        <w:t>This means any reported, i</w:t>
      </w:r>
      <w:r>
        <w:rPr>
          <w:sz w:val="21"/>
        </w:rPr>
        <w:t>dentified or verified issue that could affect IEI product confidentiality, integrity, usability, authenticity or security protection system weaknesses, deficiencies or security concerns.</w:t>
      </w:r>
    </w:p>
    <w:p w14:paraId="6645DC41" w14:textId="77777777" w:rsidR="00F10BCA" w:rsidRDefault="00BD0B01">
      <w:pPr>
        <w:pStyle w:val="H2"/>
      </w:pPr>
      <w:r>
        <w:rPr>
          <w:sz w:val="21"/>
        </w:rPr>
        <w:t xml:space="preserve">4.2 </w:t>
      </w:r>
      <w:r>
        <w:rPr>
          <w:sz w:val="21"/>
        </w:rPr>
        <w:t>協調式弱點揭露</w:t>
      </w:r>
      <w:r>
        <w:rPr>
          <w:sz w:val="21"/>
        </w:rPr>
        <w:t xml:space="preserve"> CVD</w:t>
      </w:r>
    </w:p>
    <w:p w14:paraId="211F9CC8" w14:textId="77777777" w:rsidR="00F10BCA" w:rsidRDefault="00BD0B01">
      <w:pPr>
        <w:pStyle w:val="H2EN"/>
      </w:pPr>
      <w:r>
        <w:rPr>
          <w:sz w:val="21"/>
        </w:rPr>
        <w:t>4.2 Coordinated Vulnerability Disclosure (CVD)</w:t>
      </w:r>
    </w:p>
    <w:p w14:paraId="54CE5F19" w14:textId="77777777" w:rsidR="00F10BCA" w:rsidRDefault="00BD0B01">
      <w:pPr>
        <w:pStyle w:val="Body"/>
      </w:pPr>
      <w:r>
        <w:rPr>
          <w:sz w:val="21"/>
        </w:rPr>
        <w:t>指於控制風險之前提下，由</w:t>
      </w:r>
      <w:r>
        <w:rPr>
          <w:sz w:val="21"/>
        </w:rPr>
        <w:t xml:space="preserve"> PSIRT </w:t>
      </w:r>
      <w:r>
        <w:rPr>
          <w:sz w:val="21"/>
        </w:rPr>
        <w:t>協調研究員、客戶、供應商、</w:t>
      </w:r>
      <w:r>
        <w:rPr>
          <w:sz w:val="21"/>
        </w:rPr>
        <w:t xml:space="preserve">CERT/CSIRT </w:t>
      </w:r>
      <w:r>
        <w:rPr>
          <w:sz w:val="21"/>
        </w:rPr>
        <w:t>或其他利害關係人之揭露、修補與公告活動。</w:t>
      </w:r>
    </w:p>
    <w:p w14:paraId="0C233600" w14:textId="77777777" w:rsidR="00F10BCA" w:rsidRDefault="00BD0B01">
      <w:pPr>
        <w:pStyle w:val="BodyEN"/>
      </w:pPr>
      <w:r>
        <w:rPr>
          <w:sz w:val="21"/>
        </w:rPr>
        <w:t>It refers to exposure, repair and publicity activities conducted by PSIRT researchers, clients, suppliers, CERT/CSIRT or other stakeholders prior to risk control.</w:t>
      </w:r>
    </w:p>
    <w:p w14:paraId="3DDB5167" w14:textId="77777777" w:rsidR="00F10BCA" w:rsidRDefault="00BD0B01">
      <w:pPr>
        <w:pStyle w:val="H2"/>
      </w:pPr>
      <w:r>
        <w:rPr>
          <w:sz w:val="21"/>
        </w:rPr>
        <w:t xml:space="preserve">4.3 </w:t>
      </w:r>
      <w:r>
        <w:rPr>
          <w:sz w:val="21"/>
        </w:rPr>
        <w:t>已遭主動利用弱點</w:t>
      </w:r>
      <w:r>
        <w:rPr>
          <w:sz w:val="21"/>
        </w:rPr>
        <w:t xml:space="preserve"> Actively Exploit</w:t>
      </w:r>
      <w:r>
        <w:rPr>
          <w:sz w:val="21"/>
        </w:rPr>
        <w:t>ed Vulnerability</w:t>
      </w:r>
    </w:p>
    <w:p w14:paraId="21CEA720" w14:textId="77777777" w:rsidR="00F10BCA" w:rsidRDefault="00BD0B01">
      <w:pPr>
        <w:pStyle w:val="H2EN"/>
      </w:pPr>
      <w:r>
        <w:rPr>
          <w:sz w:val="21"/>
        </w:rPr>
        <w:t>4.3 Actively Exploited Vulnerability</w:t>
      </w:r>
    </w:p>
    <w:p w14:paraId="0FEE2DC7" w14:textId="77777777" w:rsidR="00F10BCA" w:rsidRDefault="00BD0B01">
      <w:pPr>
        <w:pStyle w:val="Body"/>
      </w:pPr>
      <w:r>
        <w:rPr>
          <w:sz w:val="21"/>
        </w:rPr>
        <w:t>指已有可靠證據顯示，惡意行為者已在未經系統擁有者許可之情況下，於實際系統中利用該弱點。可靠證據可來自官方機構、上游供應商、</w:t>
      </w:r>
      <w:r>
        <w:rPr>
          <w:sz w:val="21"/>
        </w:rPr>
        <w:t>PSIRT/CERT/CSIRT</w:t>
      </w:r>
      <w:r>
        <w:rPr>
          <w:sz w:val="21"/>
        </w:rPr>
        <w:t>、</w:t>
      </w:r>
      <w:r>
        <w:rPr>
          <w:sz w:val="21"/>
        </w:rPr>
        <w:t>CISA KEV</w:t>
      </w:r>
      <w:r>
        <w:rPr>
          <w:sz w:val="21"/>
        </w:rPr>
        <w:t>、客戶現場</w:t>
      </w:r>
      <w:proofErr w:type="gramStart"/>
      <w:r>
        <w:rPr>
          <w:sz w:val="21"/>
        </w:rPr>
        <w:t>鑑</w:t>
      </w:r>
      <w:proofErr w:type="gramEnd"/>
      <w:r>
        <w:rPr>
          <w:sz w:val="21"/>
        </w:rPr>
        <w:t>識資料、產品遙測、攻擊</w:t>
      </w:r>
      <w:r>
        <w:rPr>
          <w:sz w:val="21"/>
        </w:rPr>
        <w:t xml:space="preserve"> IOC</w:t>
      </w:r>
      <w:r>
        <w:rPr>
          <w:sz w:val="21"/>
        </w:rPr>
        <w:t>、</w:t>
      </w:r>
      <w:r>
        <w:rPr>
          <w:sz w:val="21"/>
        </w:rPr>
        <w:t xml:space="preserve">EDR/XDR </w:t>
      </w:r>
      <w:r>
        <w:rPr>
          <w:sz w:val="21"/>
        </w:rPr>
        <w:t>告警、</w:t>
      </w:r>
      <w:proofErr w:type="gramStart"/>
      <w:r>
        <w:rPr>
          <w:sz w:val="21"/>
        </w:rPr>
        <w:t>封包或系統</w:t>
      </w:r>
      <w:proofErr w:type="gramEnd"/>
      <w:r>
        <w:rPr>
          <w:sz w:val="21"/>
        </w:rPr>
        <w:t>日誌等。</w:t>
      </w:r>
    </w:p>
    <w:p w14:paraId="3F5ED2C8" w14:textId="77777777" w:rsidR="00F10BCA" w:rsidRDefault="00BD0B01">
      <w:pPr>
        <w:pStyle w:val="BodyEN"/>
      </w:pPr>
      <w:r>
        <w:rPr>
          <w:sz w:val="21"/>
        </w:rPr>
        <w:t>This means that there is reliable evidence that perpetrators of malicious</w:t>
      </w:r>
      <w:r>
        <w:rPr>
          <w:sz w:val="21"/>
        </w:rPr>
        <w:t xml:space="preserve"> acts have taken advantage of this weakness in the actual system without the permission of the system owner. Credible evidence can be obtained from official institutions, upstream providers, PSIRT/CERT/CSIRT, CISA KEV, customer on-site knowledge, product t</w:t>
      </w:r>
      <w:r>
        <w:rPr>
          <w:sz w:val="21"/>
        </w:rPr>
        <w:t>elemetry, attacks against IOC, EDR/XDR alerts, envelopes or system journals.</w:t>
      </w:r>
    </w:p>
    <w:p w14:paraId="33C911EE" w14:textId="77777777" w:rsidR="00F10BCA" w:rsidRDefault="00BD0B01">
      <w:pPr>
        <w:pStyle w:val="Body"/>
      </w:pPr>
      <w:r>
        <w:rPr>
          <w:sz w:val="21"/>
        </w:rPr>
        <w:t>單純</w:t>
      </w:r>
      <w:r>
        <w:rPr>
          <w:sz w:val="21"/>
        </w:rPr>
        <w:t xml:space="preserve"> CVSS </w:t>
      </w:r>
      <w:r>
        <w:rPr>
          <w:sz w:val="21"/>
        </w:rPr>
        <w:t>高分、</w:t>
      </w:r>
      <w:r>
        <w:rPr>
          <w:sz w:val="21"/>
        </w:rPr>
        <w:t xml:space="preserve">EPSS </w:t>
      </w:r>
      <w:r>
        <w:rPr>
          <w:sz w:val="21"/>
        </w:rPr>
        <w:t>高分、公開</w:t>
      </w:r>
      <w:r>
        <w:rPr>
          <w:sz w:val="21"/>
        </w:rPr>
        <w:t xml:space="preserve"> PoC</w:t>
      </w:r>
      <w:r>
        <w:rPr>
          <w:sz w:val="21"/>
        </w:rPr>
        <w:t>、研究員展示、掃描器命中或網路傳言，不得單獨視為已遭主動利用，但應作為疑似遭利用或高優先處理之風險訊號。此類案件應視為高優先級產品安全事件，並依</w:t>
      </w:r>
      <w:r>
        <w:rPr>
          <w:sz w:val="21"/>
        </w:rPr>
        <w:t xml:space="preserve"> CRA Article 14 </w:t>
      </w:r>
      <w:r>
        <w:rPr>
          <w:sz w:val="21"/>
        </w:rPr>
        <w:t>判定是否啟動強制通報程序。</w:t>
      </w:r>
    </w:p>
    <w:p w14:paraId="43C1B80B" w14:textId="77777777" w:rsidR="00F10BCA" w:rsidRDefault="00BD0B01">
      <w:pPr>
        <w:pStyle w:val="BodyEN"/>
      </w:pPr>
      <w:r>
        <w:rPr>
          <w:sz w:val="21"/>
        </w:rPr>
        <w:t>Simple CVSS high points, EPSS high points, public Po</w:t>
      </w:r>
      <w:r>
        <w:rPr>
          <w:sz w:val="21"/>
        </w:rPr>
        <w:t>C, researchers displaying, scrutinizing or online rumours cannot be considered as being used by initiative alone, but as a risk signal that appears to have been used or handled first. This type of case should be considered a high-priority product safety in</w:t>
      </w:r>
      <w:r>
        <w:rPr>
          <w:sz w:val="21"/>
        </w:rPr>
        <w:t>cident and a decision on whether or not to initiate a mandatory reporting procedure is based on CLA Artile 14.</w:t>
      </w:r>
    </w:p>
    <w:p w14:paraId="79BE5D01" w14:textId="77777777" w:rsidR="00F10BCA" w:rsidRDefault="00BD0B01">
      <w:pPr>
        <w:pStyle w:val="H2"/>
      </w:pPr>
      <w:r>
        <w:rPr>
          <w:sz w:val="21"/>
        </w:rPr>
        <w:t xml:space="preserve">4.4 </w:t>
      </w:r>
      <w:r>
        <w:rPr>
          <w:sz w:val="21"/>
        </w:rPr>
        <w:t>嚴重事件</w:t>
      </w:r>
      <w:r>
        <w:rPr>
          <w:sz w:val="21"/>
        </w:rPr>
        <w:t xml:space="preserve"> Severe Incident</w:t>
      </w:r>
    </w:p>
    <w:p w14:paraId="1702D57E" w14:textId="77777777" w:rsidR="00F10BCA" w:rsidRDefault="00BD0B01">
      <w:pPr>
        <w:pStyle w:val="H2EN"/>
      </w:pPr>
      <w:r>
        <w:rPr>
          <w:sz w:val="21"/>
        </w:rPr>
        <w:t>4.4 Severe Incident</w:t>
      </w:r>
    </w:p>
    <w:p w14:paraId="62C50C6D" w14:textId="77777777" w:rsidR="00F10BCA" w:rsidRDefault="00BD0B01">
      <w:pPr>
        <w:pStyle w:val="Body"/>
      </w:pPr>
      <w:r>
        <w:rPr>
          <w:sz w:val="21"/>
        </w:rPr>
        <w:t>指對產品之數位安全造成重大不利影響之事件，可能涉及可用性、真實性、完整性或機密性之重大受損，並可能觸發</w:t>
      </w:r>
      <w:r>
        <w:rPr>
          <w:sz w:val="21"/>
        </w:rPr>
        <w:t xml:space="preserve"> CRA </w:t>
      </w:r>
      <w:r>
        <w:rPr>
          <w:sz w:val="21"/>
        </w:rPr>
        <w:t>強制通報。</w:t>
      </w:r>
    </w:p>
    <w:p w14:paraId="3C7AA0A4" w14:textId="77777777" w:rsidR="00F10BCA" w:rsidRDefault="00BD0B01">
      <w:pPr>
        <w:pStyle w:val="BodyEN"/>
      </w:pPr>
      <w:r>
        <w:rPr>
          <w:sz w:val="21"/>
        </w:rPr>
        <w:t>An event that has a significant advers</w:t>
      </w:r>
      <w:r>
        <w:rPr>
          <w:sz w:val="21"/>
        </w:rPr>
        <w:t>e impact on the digital security of the product may involve significant damage to usability, authenticity, integrity or confidentiality, and may trigger the CRA's pressure to report.</w:t>
      </w:r>
    </w:p>
    <w:p w14:paraId="477194C3" w14:textId="77777777" w:rsidR="00F10BCA" w:rsidRDefault="00BD0B01">
      <w:pPr>
        <w:pStyle w:val="H2"/>
      </w:pPr>
      <w:r>
        <w:rPr>
          <w:sz w:val="21"/>
        </w:rPr>
        <w:t xml:space="preserve">4.5 </w:t>
      </w:r>
      <w:r>
        <w:rPr>
          <w:sz w:val="21"/>
        </w:rPr>
        <w:t>支援期間</w:t>
      </w:r>
      <w:r>
        <w:rPr>
          <w:sz w:val="21"/>
        </w:rPr>
        <w:t xml:space="preserve"> Support Period</w:t>
      </w:r>
    </w:p>
    <w:p w14:paraId="6B64C6DE" w14:textId="77777777" w:rsidR="00F10BCA" w:rsidRDefault="00BD0B01">
      <w:pPr>
        <w:pStyle w:val="H2EN"/>
      </w:pPr>
      <w:r>
        <w:rPr>
          <w:sz w:val="21"/>
        </w:rPr>
        <w:t>4.5 Support Period</w:t>
      </w:r>
    </w:p>
    <w:p w14:paraId="142E1E2C" w14:textId="77777777" w:rsidR="00F10BCA" w:rsidRDefault="00BD0B01">
      <w:pPr>
        <w:pStyle w:val="Body"/>
      </w:pPr>
      <w:r>
        <w:rPr>
          <w:sz w:val="21"/>
        </w:rPr>
        <w:t>指產品對外宣告之維護支援期間。對</w:t>
      </w:r>
      <w:r>
        <w:rPr>
          <w:sz w:val="21"/>
        </w:rPr>
        <w:t xml:space="preserve"> CRA </w:t>
      </w:r>
      <w:r>
        <w:rPr>
          <w:sz w:val="21"/>
        </w:rPr>
        <w:t>適用產品，支援期間應符合公開承諾，且原則上不得低於</w:t>
      </w:r>
      <w:r>
        <w:rPr>
          <w:sz w:val="21"/>
        </w:rPr>
        <w:t xml:space="preserve"> 5 </w:t>
      </w:r>
      <w:r>
        <w:rPr>
          <w:sz w:val="21"/>
        </w:rPr>
        <w:t>年，除非</w:t>
      </w:r>
      <w:r>
        <w:rPr>
          <w:sz w:val="21"/>
        </w:rPr>
        <w:lastRenderedPageBreak/>
        <w:t>有合理且可證明之較短預期使用壽命。</w:t>
      </w:r>
    </w:p>
    <w:p w14:paraId="48484AA3" w14:textId="77777777" w:rsidR="00F10BCA" w:rsidRDefault="00BD0B01">
      <w:pPr>
        <w:pStyle w:val="BodyEN"/>
      </w:pPr>
      <w:r>
        <w:rPr>
          <w:sz w:val="21"/>
        </w:rPr>
        <w:t>This means the duration of the declared maintenance support of the product. For CRA-appropriate products, the duration of the support period should be in accordance with a public commit</w:t>
      </w:r>
      <w:r>
        <w:rPr>
          <w:sz w:val="21"/>
        </w:rPr>
        <w:t>ment and should not be less than five years, unless there is a reasonable and proximate expectation of life.</w:t>
      </w:r>
    </w:p>
    <w:p w14:paraId="18642217" w14:textId="77777777" w:rsidR="00F10BCA" w:rsidRDefault="00BD0B01">
      <w:pPr>
        <w:pStyle w:val="H2"/>
      </w:pPr>
      <w:r>
        <w:rPr>
          <w:sz w:val="21"/>
        </w:rPr>
        <w:t xml:space="preserve">4.6 Jira </w:t>
      </w:r>
      <w:r>
        <w:rPr>
          <w:sz w:val="21"/>
        </w:rPr>
        <w:t>主案件</w:t>
      </w:r>
      <w:r>
        <w:rPr>
          <w:sz w:val="21"/>
        </w:rPr>
        <w:t xml:space="preserve"> Master Jira Record</w:t>
      </w:r>
    </w:p>
    <w:p w14:paraId="547C7BC9" w14:textId="77777777" w:rsidR="00F10BCA" w:rsidRDefault="00BD0B01">
      <w:pPr>
        <w:pStyle w:val="H2EN"/>
      </w:pPr>
      <w:r>
        <w:rPr>
          <w:sz w:val="21"/>
        </w:rPr>
        <w:t>4.6 Master Jira Record</w:t>
      </w:r>
    </w:p>
    <w:p w14:paraId="46A5A709" w14:textId="77777777" w:rsidR="00F10BCA" w:rsidRDefault="00BD0B01">
      <w:pPr>
        <w:pStyle w:val="Body"/>
      </w:pPr>
      <w:r>
        <w:rPr>
          <w:sz w:val="21"/>
        </w:rPr>
        <w:t>指作為該弱點案件唯一主追蹤紀錄之</w:t>
      </w:r>
      <w:r>
        <w:rPr>
          <w:sz w:val="21"/>
        </w:rPr>
        <w:t xml:space="preserve"> Jira issue</w:t>
      </w:r>
      <w:r>
        <w:rPr>
          <w:sz w:val="21"/>
        </w:rPr>
        <w:t>，用以記錄案件屬性、處理狀態、責任人、時程、溝通摘要、附件與決策結果。</w:t>
      </w:r>
    </w:p>
    <w:p w14:paraId="5C05D604" w14:textId="77777777" w:rsidR="00F10BCA" w:rsidRDefault="00BD0B01">
      <w:pPr>
        <w:pStyle w:val="BodyEN"/>
      </w:pPr>
      <w:r>
        <w:rPr>
          <w:sz w:val="21"/>
        </w:rPr>
        <w:t>As the only record of this we</w:t>
      </w:r>
      <w:r>
        <w:rPr>
          <w:sz w:val="21"/>
        </w:rPr>
        <w:t>ak case, Jira issue to record the attributes, status of processing, responsibility, time course, communication summary, annexes and decision-making.</w:t>
      </w:r>
    </w:p>
    <w:p w14:paraId="66F037CF" w14:textId="77777777" w:rsidR="00F10BCA" w:rsidRDefault="00BD0B01">
      <w:pPr>
        <w:pStyle w:val="H1"/>
      </w:pPr>
      <w:r>
        <w:rPr>
          <w:sz w:val="21"/>
        </w:rPr>
        <w:t xml:space="preserve">5. </w:t>
      </w:r>
      <w:r>
        <w:rPr>
          <w:sz w:val="21"/>
        </w:rPr>
        <w:t>角色與利害關係人</w:t>
      </w:r>
      <w:r>
        <w:rPr>
          <w:sz w:val="21"/>
        </w:rPr>
        <w:t xml:space="preserve"> Roles and Stakeholders</w:t>
      </w:r>
    </w:p>
    <w:p w14:paraId="2899F0AB" w14:textId="77777777" w:rsidR="00F10BCA" w:rsidRDefault="00BD0B01">
      <w:pPr>
        <w:pStyle w:val="H1EN"/>
      </w:pPr>
      <w:r>
        <w:rPr>
          <w:sz w:val="21"/>
        </w:rPr>
        <w:t>5. Roles and Stakeholders</w:t>
      </w:r>
    </w:p>
    <w:tbl>
      <w:tblPr>
        <w:tblStyle w:val="a7"/>
        <w:tblW w:w="0" w:type="auto"/>
        <w:tblLook w:val="04A0" w:firstRow="1" w:lastRow="0" w:firstColumn="1" w:lastColumn="0" w:noHBand="0" w:noVBand="1"/>
      </w:tblPr>
      <w:tblGrid>
        <w:gridCol w:w="5228"/>
        <w:gridCol w:w="5228"/>
      </w:tblGrid>
      <w:tr w:rsidR="00F10BCA" w14:paraId="15591603" w14:textId="77777777">
        <w:tc>
          <w:tcPr>
            <w:tcW w:w="5233" w:type="dxa"/>
          </w:tcPr>
          <w:p w14:paraId="34B29C40" w14:textId="77777777" w:rsidR="00F10BCA" w:rsidRDefault="00BD0B01">
            <w:r>
              <w:rPr>
                <w:b/>
              </w:rPr>
              <w:t>角色</w:t>
            </w:r>
          </w:p>
          <w:p w14:paraId="43210BB5" w14:textId="77777777" w:rsidR="00F10BCA" w:rsidRDefault="00BD0B01">
            <w:r>
              <w:t>Role</w:t>
            </w:r>
          </w:p>
        </w:tc>
        <w:tc>
          <w:tcPr>
            <w:tcW w:w="5233" w:type="dxa"/>
          </w:tcPr>
          <w:p w14:paraId="65CAEB07" w14:textId="77777777" w:rsidR="00F10BCA" w:rsidRDefault="00BD0B01">
            <w:r>
              <w:rPr>
                <w:b/>
              </w:rPr>
              <w:t>主要責任</w:t>
            </w:r>
          </w:p>
          <w:p w14:paraId="34A7684D" w14:textId="77777777" w:rsidR="00F10BCA" w:rsidRDefault="00BD0B01">
            <w:r>
              <w:t>Main responsibilities</w:t>
            </w:r>
          </w:p>
        </w:tc>
      </w:tr>
      <w:tr w:rsidR="00F10BCA" w14:paraId="47ECF322" w14:textId="77777777">
        <w:tc>
          <w:tcPr>
            <w:tcW w:w="5233" w:type="dxa"/>
          </w:tcPr>
          <w:p w14:paraId="15AE21DF" w14:textId="77777777" w:rsidR="00F10BCA" w:rsidRDefault="00BD0B01">
            <w:r>
              <w:t>PCC</w:t>
            </w:r>
          </w:p>
        </w:tc>
        <w:tc>
          <w:tcPr>
            <w:tcW w:w="5233" w:type="dxa"/>
          </w:tcPr>
          <w:p w14:paraId="54562501" w14:textId="77777777" w:rsidR="00F10BCA" w:rsidRDefault="00BD0B01">
            <w:r>
              <w:t>評估風險優先級、決策是否對外揭露與發布公告。關鍵判定、例外、揭露與法</w:t>
            </w:r>
            <w:proofErr w:type="gramStart"/>
            <w:r>
              <w:t>遵</w:t>
            </w:r>
            <w:proofErr w:type="gramEnd"/>
            <w:r>
              <w:t>決策核准</w:t>
            </w:r>
          </w:p>
          <w:p w14:paraId="07D66BA9" w14:textId="77777777" w:rsidR="00F10BCA" w:rsidRDefault="00BD0B01">
            <w:r>
              <w:t>On the other hand, there is a need to evaluate the risks and determine whether the decisions will be exposed and announced. Key decisions, exceptions, disclosure and legal compliance approval</w:t>
            </w:r>
          </w:p>
        </w:tc>
      </w:tr>
      <w:tr w:rsidR="00F10BCA" w14:paraId="51CD9B11" w14:textId="77777777">
        <w:tc>
          <w:tcPr>
            <w:tcW w:w="5233" w:type="dxa"/>
          </w:tcPr>
          <w:p w14:paraId="683836CA" w14:textId="77777777" w:rsidR="00F10BCA" w:rsidRDefault="00BD0B01">
            <w:r>
              <w:t>PSIRT</w:t>
            </w:r>
          </w:p>
        </w:tc>
        <w:tc>
          <w:tcPr>
            <w:tcW w:w="5233" w:type="dxa"/>
          </w:tcPr>
          <w:p w14:paraId="4F9AE29C" w14:textId="77777777" w:rsidR="00F10BCA" w:rsidRDefault="00BD0B01">
            <w:r>
              <w:t>受理通報、建案、分流、外部溝通、時</w:t>
            </w:r>
            <w:r>
              <w:t>程控管、揭露治理、</w:t>
            </w:r>
            <w:r>
              <w:t xml:space="preserve">CRA </w:t>
            </w:r>
            <w:r>
              <w:t>通報協調、結案與度量</w:t>
            </w:r>
          </w:p>
          <w:p w14:paraId="03F464D9" w14:textId="77777777" w:rsidR="00F10BCA" w:rsidRDefault="00BD0B01">
            <w:r>
              <w:t>Reception of reports, case-building, diversion, external communication, time management, disclosure of governance, CRA communication, case closure and measurement</w:t>
            </w:r>
          </w:p>
        </w:tc>
      </w:tr>
      <w:tr w:rsidR="00F10BCA" w14:paraId="4FBD5FE3" w14:textId="77777777">
        <w:tc>
          <w:tcPr>
            <w:tcW w:w="5233" w:type="dxa"/>
          </w:tcPr>
          <w:p w14:paraId="57C2CAE5" w14:textId="77777777" w:rsidR="00F10BCA" w:rsidRDefault="00BD0B01">
            <w:r>
              <w:t>PM</w:t>
            </w:r>
          </w:p>
        </w:tc>
        <w:tc>
          <w:tcPr>
            <w:tcW w:w="5233" w:type="dxa"/>
          </w:tcPr>
          <w:p w14:paraId="66EE865C" w14:textId="77777777" w:rsidR="00F10BCA" w:rsidRDefault="00BD0B01">
            <w:r>
              <w:t>提供產品範圍、版本、</w:t>
            </w:r>
            <w:r>
              <w:t>BOM variant</w:t>
            </w:r>
            <w:r>
              <w:t>、支援狀態、</w:t>
            </w:r>
            <w:r>
              <w:t>EOL/EOS</w:t>
            </w:r>
            <w:r>
              <w:t>、客戶部署、</w:t>
            </w:r>
            <w:r>
              <w:t xml:space="preserve">ODM/OEM </w:t>
            </w:r>
            <w:r>
              <w:t>權責、商業與合約影響、</w:t>
            </w:r>
            <w:r>
              <w:t>releas</w:t>
            </w:r>
            <w:r>
              <w:t xml:space="preserve">e path </w:t>
            </w:r>
            <w:r>
              <w:t>與客戶通知策略輸入；協助修補規劃、發布交付與結案後產品改善追蹤。</w:t>
            </w:r>
          </w:p>
          <w:p w14:paraId="67A56916" w14:textId="77777777" w:rsidR="00F10BCA" w:rsidRDefault="00BD0B01">
            <w:r>
              <w:t>To provide product coverage, version, BOM varant, support status, EOL/EOS, customer deployment, ODM/OEM rights, business and contract implications, release path and client notification strategy input; to assist in re</w:t>
            </w:r>
            <w:r>
              <w:t>trofitting planning, distribution and improved tracking of products after case closure.</w:t>
            </w:r>
          </w:p>
        </w:tc>
      </w:tr>
      <w:tr w:rsidR="00F10BCA" w14:paraId="66A68047" w14:textId="77777777">
        <w:tc>
          <w:tcPr>
            <w:tcW w:w="5233" w:type="dxa"/>
          </w:tcPr>
          <w:p w14:paraId="2F145AB6" w14:textId="77777777" w:rsidR="00F10BCA" w:rsidRDefault="00BD0B01">
            <w:r>
              <w:lastRenderedPageBreak/>
              <w:t>RD</w:t>
            </w:r>
          </w:p>
        </w:tc>
        <w:tc>
          <w:tcPr>
            <w:tcW w:w="5233" w:type="dxa"/>
          </w:tcPr>
          <w:p w14:paraId="3AE8CA64" w14:textId="77777777" w:rsidR="00F10BCA" w:rsidRDefault="00BD0B01">
            <w:r>
              <w:t>技術分析、重現、</w:t>
            </w:r>
            <w:r>
              <w:t>root cause</w:t>
            </w:r>
            <w:r>
              <w:t>、修補或緩解方案、供應商技術協調</w:t>
            </w:r>
          </w:p>
          <w:p w14:paraId="0FA922BE" w14:textId="77777777" w:rsidR="00F10BCA" w:rsidRDefault="00BD0B01">
            <w:r>
              <w:t>Technical analysis, reproduction, root cause, repair or mitigation programme, supply technology coordination</w:t>
            </w:r>
          </w:p>
        </w:tc>
      </w:tr>
      <w:tr w:rsidR="00F10BCA" w14:paraId="583FC9A5" w14:textId="77777777">
        <w:tc>
          <w:tcPr>
            <w:tcW w:w="5233" w:type="dxa"/>
          </w:tcPr>
          <w:p w14:paraId="1C9418E9" w14:textId="77777777" w:rsidR="00F10BCA" w:rsidRDefault="00BD0B01">
            <w:r>
              <w:t>DQV / QA / QT</w:t>
            </w:r>
          </w:p>
        </w:tc>
        <w:tc>
          <w:tcPr>
            <w:tcW w:w="5233" w:type="dxa"/>
          </w:tcPr>
          <w:p w14:paraId="788C5272" w14:textId="77777777" w:rsidR="00F10BCA" w:rsidRDefault="00BD0B01">
            <w:r>
              <w:t>驗證修補有</w:t>
            </w:r>
            <w:r>
              <w:t>效性、回歸測試、相容性與發行證據</w:t>
            </w:r>
          </w:p>
          <w:p w14:paraId="3A43DB45" w14:textId="77777777" w:rsidR="00F10BCA" w:rsidRDefault="00BD0B01">
            <w:r>
              <w:t>Validation of fixes, return tests, compatibility and issuance of evidence</w:t>
            </w:r>
          </w:p>
        </w:tc>
      </w:tr>
      <w:tr w:rsidR="00F10BCA" w14:paraId="7CECF89F" w14:textId="77777777">
        <w:tc>
          <w:tcPr>
            <w:tcW w:w="5233" w:type="dxa"/>
          </w:tcPr>
          <w:p w14:paraId="2227A825" w14:textId="77777777" w:rsidR="00F10BCA" w:rsidRDefault="00BD0B01">
            <w:r>
              <w:t>法務</w:t>
            </w:r>
            <w:r>
              <w:t xml:space="preserve"> / </w:t>
            </w:r>
            <w:r>
              <w:t>法</w:t>
            </w:r>
            <w:proofErr w:type="gramStart"/>
            <w:r>
              <w:t>遵</w:t>
            </w:r>
            <w:proofErr w:type="gramEnd"/>
          </w:p>
          <w:p w14:paraId="666A47D0" w14:textId="77777777" w:rsidR="00F10BCA" w:rsidRDefault="00BD0B01">
            <w:r>
              <w:t>Law / Law Compliance</w:t>
            </w:r>
          </w:p>
        </w:tc>
        <w:tc>
          <w:tcPr>
            <w:tcW w:w="5233" w:type="dxa"/>
          </w:tcPr>
          <w:p w14:paraId="1651F57E" w14:textId="77777777" w:rsidR="00F10BCA" w:rsidRDefault="00BD0B01">
            <w:r>
              <w:t>合約、揭露風險、主管機關通報、</w:t>
            </w:r>
            <w:proofErr w:type="gramStart"/>
            <w:r>
              <w:t>個</w:t>
            </w:r>
            <w:proofErr w:type="gramEnd"/>
            <w:r>
              <w:t>資與跨境資料處理審查</w:t>
            </w:r>
          </w:p>
          <w:p w14:paraId="6143B112" w14:textId="77777777" w:rsidR="00F10BCA" w:rsidRDefault="00BD0B01">
            <w:r>
              <w:t>Contract, risk exposure, authority clearance, personal and cross-border data processing.</w:t>
            </w:r>
          </w:p>
        </w:tc>
      </w:tr>
      <w:tr w:rsidR="00F10BCA" w14:paraId="47177BBC" w14:textId="77777777">
        <w:tc>
          <w:tcPr>
            <w:tcW w:w="5233" w:type="dxa"/>
          </w:tcPr>
          <w:p w14:paraId="2A0AD9FC" w14:textId="77777777" w:rsidR="00F10BCA" w:rsidRDefault="00BD0B01">
            <w:r>
              <w:t>業務</w:t>
            </w:r>
            <w:r>
              <w:t xml:space="preserve"> / </w:t>
            </w:r>
            <w:r>
              <w:t>客服</w:t>
            </w:r>
          </w:p>
          <w:p w14:paraId="7D595383" w14:textId="77777777" w:rsidR="00F10BCA" w:rsidRDefault="00BD0B01">
            <w:r>
              <w:t>Business / client service</w:t>
            </w:r>
          </w:p>
        </w:tc>
        <w:tc>
          <w:tcPr>
            <w:tcW w:w="5233" w:type="dxa"/>
          </w:tcPr>
          <w:p w14:paraId="66E5C6EB" w14:textId="77777777" w:rsidR="00F10BCA" w:rsidRDefault="00BD0B01">
            <w:r>
              <w:t>客戶分層通知、客戶回饋蒐集、商務溝通支援</w:t>
            </w:r>
          </w:p>
          <w:p w14:paraId="180D08CE" w14:textId="77777777" w:rsidR="00F10BCA" w:rsidRDefault="00BD0B01">
            <w:r>
              <w:t>Client level alerts, client returns, business communications support.</w:t>
            </w:r>
          </w:p>
        </w:tc>
      </w:tr>
      <w:tr w:rsidR="00F10BCA" w14:paraId="3DE4C829" w14:textId="77777777">
        <w:tc>
          <w:tcPr>
            <w:tcW w:w="5233" w:type="dxa"/>
          </w:tcPr>
          <w:p w14:paraId="6AF2BE46" w14:textId="77777777" w:rsidR="00F10BCA" w:rsidRDefault="00BD0B01">
            <w:r>
              <w:t xml:space="preserve">IT / Jira </w:t>
            </w:r>
            <w:r>
              <w:t>管理者</w:t>
            </w:r>
          </w:p>
          <w:p w14:paraId="7D7A819B" w14:textId="77777777" w:rsidR="00F10BCA" w:rsidRDefault="00BD0B01">
            <w:r>
              <w:t>IT / Jira Manager</w:t>
            </w:r>
          </w:p>
        </w:tc>
        <w:tc>
          <w:tcPr>
            <w:tcW w:w="5233" w:type="dxa"/>
          </w:tcPr>
          <w:p w14:paraId="5FCB1303" w14:textId="77777777" w:rsidR="00F10BCA" w:rsidRDefault="00BD0B01">
            <w:r>
              <w:t xml:space="preserve">Jira </w:t>
            </w:r>
            <w:r>
              <w:t>權限、保存、稽核與系統可用性維持</w:t>
            </w:r>
          </w:p>
          <w:p w14:paraId="0CA5561A" w14:textId="77777777" w:rsidR="00F10BCA" w:rsidRDefault="00BD0B01">
            <w:r>
              <w:t>Jira permissions, preservation, auditing and system availability maintenance</w:t>
            </w:r>
          </w:p>
        </w:tc>
      </w:tr>
      <w:tr w:rsidR="00F10BCA" w14:paraId="01C5A0DF" w14:textId="77777777">
        <w:tc>
          <w:tcPr>
            <w:tcW w:w="5233" w:type="dxa"/>
          </w:tcPr>
          <w:p w14:paraId="0CDFA6E3" w14:textId="77777777" w:rsidR="00F10BCA" w:rsidRDefault="00BD0B01">
            <w:r>
              <w:t>外部研究員</w:t>
            </w:r>
            <w:r>
              <w:t xml:space="preserve"> </w:t>
            </w:r>
            <w:r>
              <w:t xml:space="preserve">/ </w:t>
            </w:r>
            <w:r>
              <w:t>客戶</w:t>
            </w:r>
            <w:r>
              <w:t xml:space="preserve"> / </w:t>
            </w:r>
            <w:r>
              <w:t>供應商</w:t>
            </w:r>
            <w:r>
              <w:t xml:space="preserve"> / CERT / CSIRT</w:t>
            </w:r>
          </w:p>
          <w:p w14:paraId="7B120BB5" w14:textId="77777777" w:rsidR="00F10BCA" w:rsidRDefault="00BD0B01">
            <w:r>
              <w:t>External researcher / client / supplier / CPT / CSIRT</w:t>
            </w:r>
          </w:p>
        </w:tc>
        <w:tc>
          <w:tcPr>
            <w:tcW w:w="5233" w:type="dxa"/>
          </w:tcPr>
          <w:p w14:paraId="7E581643" w14:textId="77777777" w:rsidR="00F10BCA" w:rsidRDefault="00BD0B01">
            <w:r>
              <w:t>弱點提供、協調揭露、補件、交互驗證與同步溝通</w:t>
            </w:r>
          </w:p>
          <w:p w14:paraId="145AFDC1" w14:textId="77777777" w:rsidR="00F10BCA" w:rsidRDefault="00BD0B01">
            <w:r>
              <w:t>Weaknesses provide, coordinate exposures, supplements, cross-check and synchronized communication</w:t>
            </w:r>
          </w:p>
        </w:tc>
      </w:tr>
    </w:tbl>
    <w:p w14:paraId="15B930A1" w14:textId="77777777" w:rsidR="00F10BCA" w:rsidRDefault="00BD0B01">
      <w:pPr>
        <w:pStyle w:val="H1"/>
      </w:pPr>
      <w:r>
        <w:rPr>
          <w:sz w:val="21"/>
        </w:rPr>
        <w:t xml:space="preserve">6. </w:t>
      </w:r>
      <w:r>
        <w:rPr>
          <w:sz w:val="21"/>
        </w:rPr>
        <w:t>程序總</w:t>
      </w:r>
      <w:proofErr w:type="gramStart"/>
      <w:r>
        <w:rPr>
          <w:sz w:val="21"/>
        </w:rPr>
        <w:t>覽</w:t>
      </w:r>
      <w:proofErr w:type="gramEnd"/>
      <w:r>
        <w:rPr>
          <w:sz w:val="21"/>
        </w:rPr>
        <w:t xml:space="preserve"> Process Overview</w:t>
      </w:r>
    </w:p>
    <w:p w14:paraId="7C8B4B02" w14:textId="77777777" w:rsidR="00F10BCA" w:rsidRDefault="00BD0B01">
      <w:pPr>
        <w:pStyle w:val="H1EN"/>
      </w:pPr>
      <w:r>
        <w:rPr>
          <w:sz w:val="21"/>
        </w:rPr>
        <w:t>6. Process Overview</w:t>
      </w:r>
    </w:p>
    <w:p w14:paraId="06C97741" w14:textId="77777777" w:rsidR="00F10BCA" w:rsidRDefault="00BD0B01">
      <w:pPr>
        <w:pStyle w:val="H2"/>
      </w:pPr>
      <w:r>
        <w:rPr>
          <w:sz w:val="21"/>
        </w:rPr>
        <w:t>流程圖</w:t>
      </w:r>
    </w:p>
    <w:p w14:paraId="79F09EE6" w14:textId="77777777" w:rsidR="00F10BCA" w:rsidRDefault="00BD0B01">
      <w:pPr>
        <w:pStyle w:val="H2EN"/>
      </w:pPr>
      <w:r>
        <w:rPr>
          <w:sz w:val="21"/>
        </w:rPr>
        <w:t xml:space="preserve">Flow </w:t>
      </w:r>
      <w:r>
        <w:rPr>
          <w:sz w:val="21"/>
        </w:rPr>
        <w:t>Chart</w:t>
      </w:r>
    </w:p>
    <w:p w14:paraId="1F0CD6CA" w14:textId="77777777" w:rsidR="00F10BCA" w:rsidRDefault="00BD0B01">
      <w:r>
        <w:rPr>
          <w:noProof/>
          <w:sz w:val="21"/>
        </w:rPr>
        <w:lastRenderedPageBreak/>
        <w:drawing>
          <wp:inline distT="0" distB="0" distL="0" distR="0" wp14:anchorId="7E9A6322" wp14:editId="03D9FDE0">
            <wp:extent cx="5760720" cy="8141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_handle_n_disclose_flow.png"/>
                    <pic:cNvPicPr/>
                  </pic:nvPicPr>
                  <pic:blipFill>
                    <a:blip r:embed="rId8"/>
                    <a:stretch>
                      <a:fillRect/>
                    </a:stretch>
                  </pic:blipFill>
                  <pic:spPr>
                    <a:xfrm>
                      <a:off x="0" y="0"/>
                      <a:ext cx="5760720" cy="8141454"/>
                    </a:xfrm>
                    <a:prstGeom prst="rect">
                      <a:avLst/>
                    </a:prstGeom>
                  </pic:spPr>
                </pic:pic>
              </a:graphicData>
            </a:graphic>
          </wp:inline>
        </w:drawing>
      </w:r>
    </w:p>
    <w:p w14:paraId="4A98D953" w14:textId="77777777" w:rsidR="00F10BCA" w:rsidRDefault="00BD0B01">
      <w:pPr>
        <w:pStyle w:val="H1"/>
      </w:pPr>
      <w:r>
        <w:rPr>
          <w:sz w:val="21"/>
        </w:rPr>
        <w:t xml:space="preserve">7. </w:t>
      </w:r>
      <w:r>
        <w:rPr>
          <w:sz w:val="21"/>
        </w:rPr>
        <w:t>流程要求</w:t>
      </w:r>
      <w:r>
        <w:rPr>
          <w:sz w:val="21"/>
        </w:rPr>
        <w:t xml:space="preserve"> Process Requirements</w:t>
      </w:r>
    </w:p>
    <w:p w14:paraId="64D62C1A" w14:textId="77777777" w:rsidR="00F10BCA" w:rsidRDefault="00BD0B01">
      <w:pPr>
        <w:pStyle w:val="H1EN"/>
      </w:pPr>
      <w:r>
        <w:rPr>
          <w:sz w:val="21"/>
        </w:rPr>
        <w:t>7. Process Requirements</w:t>
      </w:r>
    </w:p>
    <w:p w14:paraId="0766D151" w14:textId="77777777" w:rsidR="00F10BCA" w:rsidRDefault="00BD0B01">
      <w:pPr>
        <w:pStyle w:val="H2"/>
      </w:pPr>
      <w:r>
        <w:rPr>
          <w:sz w:val="21"/>
        </w:rPr>
        <w:lastRenderedPageBreak/>
        <w:t xml:space="preserve">7.1 </w:t>
      </w:r>
      <w:r>
        <w:rPr>
          <w:sz w:val="21"/>
        </w:rPr>
        <w:t>受理與建案</w:t>
      </w:r>
      <w:r>
        <w:rPr>
          <w:sz w:val="21"/>
        </w:rPr>
        <w:t xml:space="preserve"> Intake and Registration</w:t>
      </w:r>
    </w:p>
    <w:p w14:paraId="0E78CB2C" w14:textId="77777777" w:rsidR="00F10BCA" w:rsidRDefault="00BD0B01">
      <w:pPr>
        <w:pStyle w:val="H2EN"/>
      </w:pPr>
      <w:r>
        <w:rPr>
          <w:sz w:val="21"/>
        </w:rPr>
        <w:t>7.1 Intake and Registration</w:t>
      </w:r>
    </w:p>
    <w:p w14:paraId="4B171A0B" w14:textId="77777777" w:rsidR="00F10BCA" w:rsidRDefault="00BD0B01">
      <w:pPr>
        <w:pStyle w:val="af"/>
      </w:pPr>
      <w:r>
        <w:rPr>
          <w:sz w:val="21"/>
        </w:rPr>
        <w:t xml:space="preserve">IEI </w:t>
      </w:r>
      <w:r>
        <w:rPr>
          <w:sz w:val="21"/>
        </w:rPr>
        <w:t>應維持至少一個公開單一聯絡窗口，供研究員、客戶、供應商與協調者回報弱點。</w:t>
      </w:r>
    </w:p>
    <w:p w14:paraId="504F07A3" w14:textId="77777777" w:rsidR="00F10BCA" w:rsidRDefault="00BD0B01">
      <w:pPr>
        <w:pStyle w:val="BodyEN"/>
      </w:pPr>
      <w:r>
        <w:rPr>
          <w:sz w:val="21"/>
        </w:rPr>
        <w:t xml:space="preserve">IEI should maintain at least one public contact window for researchers, clients, </w:t>
      </w:r>
      <w:r>
        <w:rPr>
          <w:sz w:val="21"/>
        </w:rPr>
        <w:t>suppliers and facilitators to respond to weaknesses.</w:t>
      </w:r>
    </w:p>
    <w:p w14:paraId="02E4EAC9" w14:textId="77777777" w:rsidR="00F10BCA" w:rsidRDefault="00BD0B01">
      <w:pPr>
        <w:pStyle w:val="af"/>
      </w:pPr>
      <w:r>
        <w:rPr>
          <w:sz w:val="21"/>
        </w:rPr>
        <w:t>目前已知公開入口至少包括</w:t>
      </w:r>
      <w:r>
        <w:rPr>
          <w:sz w:val="21"/>
        </w:rPr>
        <w:t xml:space="preserve"> `security@ieiworld.com`</w:t>
      </w:r>
      <w:r>
        <w:rPr>
          <w:sz w:val="21"/>
        </w:rPr>
        <w:t>、</w:t>
      </w:r>
      <w:r>
        <w:rPr>
          <w:sz w:val="21"/>
        </w:rPr>
        <w:t xml:space="preserve">PGP </w:t>
      </w:r>
      <w:r>
        <w:rPr>
          <w:sz w:val="21"/>
        </w:rPr>
        <w:t>加密通報機制，以及公開公告頁面</w:t>
      </w:r>
      <w:r>
        <w:rPr>
          <w:sz w:val="21"/>
        </w:rPr>
        <w:t xml:space="preserve"> `https://www.ieiworld.com/security-advisories`</w:t>
      </w:r>
      <w:r>
        <w:rPr>
          <w:sz w:val="21"/>
        </w:rPr>
        <w:t>；若有網站表單、</w:t>
      </w:r>
      <w:r>
        <w:rPr>
          <w:sz w:val="21"/>
        </w:rPr>
        <w:t>`security.txt`</w:t>
      </w:r>
      <w:r>
        <w:rPr>
          <w:sz w:val="21"/>
        </w:rPr>
        <w:t>、</w:t>
      </w:r>
      <w:r>
        <w:rPr>
          <w:sz w:val="21"/>
        </w:rPr>
        <w:t xml:space="preserve">portal </w:t>
      </w:r>
      <w:r>
        <w:rPr>
          <w:sz w:val="21"/>
        </w:rPr>
        <w:t>或</w:t>
      </w:r>
      <w:r>
        <w:rPr>
          <w:sz w:val="21"/>
        </w:rPr>
        <w:t xml:space="preserve"> bug bounty </w:t>
      </w:r>
      <w:r>
        <w:rPr>
          <w:sz w:val="21"/>
        </w:rPr>
        <w:t>入口，應一併納入同一管理範圍。</w:t>
      </w:r>
    </w:p>
    <w:p w14:paraId="230FCA15" w14:textId="77777777" w:rsidR="00F10BCA" w:rsidRDefault="00BD0B01">
      <w:pPr>
        <w:pStyle w:val="BodyEN"/>
      </w:pPr>
      <w:r>
        <w:rPr>
          <w:sz w:val="21"/>
        </w:rPr>
        <w:t>Public access is currently known to inclu</w:t>
      </w:r>
      <w:r>
        <w:rPr>
          <w:sz w:val="21"/>
        </w:rPr>
        <w:t xml:space="preserve">de at least `security'@ieiworld.com </w:t>
      </w:r>
      <w:proofErr w:type="gramStart"/>
      <w:r>
        <w:rPr>
          <w:sz w:val="21"/>
        </w:rPr>
        <w:t>' ,</w:t>
      </w:r>
      <w:proofErr w:type="gramEnd"/>
      <w:r>
        <w:rPr>
          <w:sz w:val="21"/>
        </w:rPr>
        <w:t xml:space="preserve"> the PGP encryption system, and the public bulletin page `https://www.ieiworld.com/security-advisory ' ; if there is a website form, `security.txt ' , portal or bug bowty entry, it should be added to the same manageme</w:t>
      </w:r>
      <w:r>
        <w:rPr>
          <w:sz w:val="21"/>
        </w:rPr>
        <w:t>nt range.</w:t>
      </w:r>
    </w:p>
    <w:p w14:paraId="2FC84FCA" w14:textId="77777777" w:rsidR="00F10BCA" w:rsidRDefault="00BD0B01">
      <w:pPr>
        <w:pStyle w:val="af"/>
      </w:pPr>
      <w:r>
        <w:rPr>
          <w:sz w:val="21"/>
        </w:rPr>
        <w:t>對外通報機制應公開且可近用，並應說明聯絡方式、適用範圍、建議通報內容、安全通訊方式、持續溝通方式、致謝或認列原則、揭露協調原則與</w:t>
      </w:r>
      <w:r>
        <w:rPr>
          <w:sz w:val="21"/>
        </w:rPr>
        <w:t xml:space="preserve"> embargo </w:t>
      </w:r>
      <w:r>
        <w:rPr>
          <w:sz w:val="21"/>
        </w:rPr>
        <w:t>期待。安全通訊機制不得成為拒收弱點通報之理由；若通報者使用較低安全性通道，</w:t>
      </w:r>
      <w:r>
        <w:rPr>
          <w:sz w:val="21"/>
        </w:rPr>
        <w:t xml:space="preserve">PSIRT </w:t>
      </w:r>
      <w:r>
        <w:rPr>
          <w:sz w:val="21"/>
        </w:rPr>
        <w:t>應先受理並視風險引導其改用適當保密通道。</w:t>
      </w:r>
    </w:p>
    <w:p w14:paraId="32A9BFCA" w14:textId="77777777" w:rsidR="00F10BCA" w:rsidRDefault="00BD0B01">
      <w:pPr>
        <w:pStyle w:val="BodyEN"/>
      </w:pPr>
      <w:r>
        <w:rPr>
          <w:sz w:val="21"/>
        </w:rPr>
        <w:t>It should be made publicly available and accessible, and should describe the means of communication, the appr</w:t>
      </w:r>
      <w:r>
        <w:rPr>
          <w:sz w:val="21"/>
        </w:rPr>
        <w:t>opriate range, the content of the recommendations, the means of secure communication, the means of continuous communication, the acknowledgement or recognition of principles, the disclosure of rules of coordination and the expectations of embargo. The secu</w:t>
      </w:r>
      <w:r>
        <w:rPr>
          <w:sz w:val="21"/>
        </w:rPr>
        <w:t>rity communication system should not be used as a reason for refusing to report weak points; if a reporter uses a less secure route, the PSIRT should first accept it and be guided by risk to use the appropriate secure route.</w:t>
      </w:r>
    </w:p>
    <w:p w14:paraId="352F8632" w14:textId="77777777" w:rsidR="00F10BCA" w:rsidRDefault="00BD0B01">
      <w:pPr>
        <w:pStyle w:val="af"/>
      </w:pPr>
      <w:r>
        <w:rPr>
          <w:sz w:val="21"/>
        </w:rPr>
        <w:t>收到通報後，</w:t>
      </w:r>
      <w:r>
        <w:rPr>
          <w:sz w:val="21"/>
        </w:rPr>
        <w:t xml:space="preserve">PSIRT </w:t>
      </w:r>
      <w:r>
        <w:rPr>
          <w:sz w:val="21"/>
        </w:rPr>
        <w:t>應立即建立</w:t>
      </w:r>
      <w:r>
        <w:rPr>
          <w:sz w:val="21"/>
        </w:rPr>
        <w:t xml:space="preserve"> Jira </w:t>
      </w:r>
      <w:r>
        <w:rPr>
          <w:sz w:val="21"/>
        </w:rPr>
        <w:t>主案件，至少記錄</w:t>
      </w:r>
      <w:r>
        <w:rPr>
          <w:sz w:val="21"/>
        </w:rPr>
        <w:t>：</w:t>
      </w:r>
    </w:p>
    <w:p w14:paraId="7B3BEF85" w14:textId="77777777" w:rsidR="00F10BCA" w:rsidRDefault="00BD0B01">
      <w:pPr>
        <w:pStyle w:val="BodyEN"/>
      </w:pPr>
      <w:r>
        <w:rPr>
          <w:sz w:val="21"/>
        </w:rPr>
        <w:t xml:space="preserve">Upon receipt of the report, PSIRT should immediately create the Jira main case, at least record it.: </w:t>
      </w:r>
    </w:p>
    <w:p w14:paraId="4560CCD5" w14:textId="77777777" w:rsidR="00F10BCA" w:rsidRDefault="00BD0B01">
      <w:pPr>
        <w:pStyle w:val="af"/>
      </w:pPr>
      <w:r>
        <w:rPr>
          <w:sz w:val="21"/>
        </w:rPr>
        <w:t>收件時間與來源</w:t>
      </w:r>
    </w:p>
    <w:p w14:paraId="2D9EE99D" w14:textId="77777777" w:rsidR="00F10BCA" w:rsidRDefault="00BD0B01">
      <w:pPr>
        <w:pStyle w:val="BodyEN"/>
      </w:pPr>
      <w:r>
        <w:rPr>
          <w:sz w:val="21"/>
        </w:rPr>
        <w:t>Incoming time and source</w:t>
      </w:r>
    </w:p>
    <w:p w14:paraId="4474E488" w14:textId="77777777" w:rsidR="00F10BCA" w:rsidRDefault="00BD0B01">
      <w:pPr>
        <w:pStyle w:val="af"/>
      </w:pPr>
      <w:r>
        <w:rPr>
          <w:sz w:val="21"/>
        </w:rPr>
        <w:t>通報者識別與聯絡方式</w:t>
      </w:r>
    </w:p>
    <w:p w14:paraId="53700D99" w14:textId="77777777" w:rsidR="00F10BCA" w:rsidRDefault="00BD0B01">
      <w:pPr>
        <w:pStyle w:val="BodyEN"/>
      </w:pPr>
      <w:r>
        <w:rPr>
          <w:sz w:val="21"/>
        </w:rPr>
        <w:t>Informer recognition and contact.</w:t>
      </w:r>
    </w:p>
    <w:p w14:paraId="0CC67868" w14:textId="77777777" w:rsidR="00F10BCA" w:rsidRDefault="00BD0B01">
      <w:pPr>
        <w:pStyle w:val="af"/>
      </w:pPr>
      <w:r>
        <w:rPr>
          <w:sz w:val="21"/>
        </w:rPr>
        <w:t>受影響產品</w:t>
      </w:r>
      <w:r>
        <w:rPr>
          <w:sz w:val="21"/>
        </w:rPr>
        <w:t>/</w:t>
      </w:r>
      <w:r>
        <w:rPr>
          <w:sz w:val="21"/>
        </w:rPr>
        <w:t>版本</w:t>
      </w:r>
      <w:r>
        <w:rPr>
          <w:sz w:val="21"/>
        </w:rPr>
        <w:t>/</w:t>
      </w:r>
      <w:r>
        <w:rPr>
          <w:sz w:val="21"/>
        </w:rPr>
        <w:t>平台</w:t>
      </w:r>
    </w:p>
    <w:p w14:paraId="3505EEBF" w14:textId="77777777" w:rsidR="00F10BCA" w:rsidRDefault="00BD0B01">
      <w:pPr>
        <w:pStyle w:val="BodyEN"/>
      </w:pPr>
      <w:r>
        <w:rPr>
          <w:sz w:val="21"/>
        </w:rPr>
        <w:t>Affected products/versions/platforms</w:t>
      </w:r>
    </w:p>
    <w:p w14:paraId="3FA4DB5F" w14:textId="77777777" w:rsidR="00F10BCA" w:rsidRDefault="00BD0B01">
      <w:pPr>
        <w:pStyle w:val="af"/>
      </w:pPr>
      <w:r>
        <w:rPr>
          <w:sz w:val="21"/>
        </w:rPr>
        <w:t>產品市場角色、</w:t>
      </w:r>
      <w:r>
        <w:rPr>
          <w:sz w:val="21"/>
        </w:rPr>
        <w:t xml:space="preserve">ODM/OEM </w:t>
      </w:r>
      <w:r>
        <w:rPr>
          <w:sz w:val="21"/>
        </w:rPr>
        <w:t>客戶、品牌客戶與可能</w:t>
      </w:r>
      <w:r>
        <w:rPr>
          <w:sz w:val="21"/>
        </w:rPr>
        <w:t>之</w:t>
      </w:r>
      <w:r>
        <w:rPr>
          <w:sz w:val="21"/>
        </w:rPr>
        <w:t xml:space="preserve"> EU </w:t>
      </w:r>
      <w:r>
        <w:rPr>
          <w:sz w:val="21"/>
        </w:rPr>
        <w:t>責任鏈</w:t>
      </w:r>
    </w:p>
    <w:p w14:paraId="32809804" w14:textId="77777777" w:rsidR="00F10BCA" w:rsidRDefault="00BD0B01">
      <w:pPr>
        <w:pStyle w:val="BodyEN"/>
      </w:pPr>
      <w:r>
        <w:rPr>
          <w:sz w:val="21"/>
        </w:rPr>
        <w:t>Product marketing role, ODM/OEM clients, brand clients and possible EU liability chain</w:t>
      </w:r>
    </w:p>
    <w:p w14:paraId="0A549664" w14:textId="77777777" w:rsidR="00F10BCA" w:rsidRDefault="00BD0B01">
      <w:pPr>
        <w:pStyle w:val="af"/>
      </w:pPr>
      <w:r>
        <w:rPr>
          <w:sz w:val="21"/>
        </w:rPr>
        <w:t>弱點描述、</w:t>
      </w:r>
      <w:r>
        <w:rPr>
          <w:sz w:val="21"/>
        </w:rPr>
        <w:t>PoC</w:t>
      </w:r>
      <w:r>
        <w:rPr>
          <w:sz w:val="21"/>
        </w:rPr>
        <w:t>、附件與公開狀態</w:t>
      </w:r>
    </w:p>
    <w:p w14:paraId="6A1A31FF" w14:textId="77777777" w:rsidR="00F10BCA" w:rsidRDefault="00BD0B01">
      <w:pPr>
        <w:pStyle w:val="BodyEN"/>
      </w:pPr>
      <w:r>
        <w:rPr>
          <w:sz w:val="21"/>
        </w:rPr>
        <w:t>Weakness Description, PoC, Attachments and Public Status</w:t>
      </w:r>
    </w:p>
    <w:p w14:paraId="09FD0245" w14:textId="77777777" w:rsidR="00F10BCA" w:rsidRDefault="00BD0B01">
      <w:pPr>
        <w:pStyle w:val="af"/>
      </w:pPr>
      <w:r>
        <w:rPr>
          <w:sz w:val="21"/>
        </w:rPr>
        <w:t xml:space="preserve">Exploitation Status </w:t>
      </w:r>
      <w:r>
        <w:rPr>
          <w:sz w:val="21"/>
        </w:rPr>
        <w:t>初判、是否可能涉及</w:t>
      </w:r>
      <w:r>
        <w:rPr>
          <w:sz w:val="21"/>
        </w:rPr>
        <w:t xml:space="preserve"> CRA</w:t>
      </w:r>
    </w:p>
    <w:p w14:paraId="4A4CC37E" w14:textId="77777777" w:rsidR="00F10BCA" w:rsidRDefault="00BD0B01">
      <w:pPr>
        <w:pStyle w:val="BodyEN"/>
      </w:pPr>
      <w:r>
        <w:rPr>
          <w:sz w:val="21"/>
        </w:rPr>
        <w:t>Express Status First Judgement, Possible CRA</w:t>
      </w:r>
    </w:p>
    <w:p w14:paraId="7DF49BFA" w14:textId="77777777" w:rsidR="00F10BCA" w:rsidRDefault="00BD0B01">
      <w:pPr>
        <w:pStyle w:val="af"/>
      </w:pPr>
      <w:r>
        <w:rPr>
          <w:sz w:val="21"/>
        </w:rPr>
        <w:t>敏感度與存取權</w:t>
      </w:r>
      <w:r>
        <w:rPr>
          <w:sz w:val="21"/>
        </w:rPr>
        <w:t>限分級</w:t>
      </w:r>
    </w:p>
    <w:p w14:paraId="2C10B28B" w14:textId="77777777" w:rsidR="00F10BCA" w:rsidRDefault="00BD0B01">
      <w:pPr>
        <w:pStyle w:val="BodyEN"/>
      </w:pPr>
      <w:r>
        <w:rPr>
          <w:sz w:val="21"/>
        </w:rPr>
        <w:t>Sensitivity and Access Permission Levels</w:t>
      </w:r>
    </w:p>
    <w:p w14:paraId="179E478E" w14:textId="77777777" w:rsidR="00F10BCA" w:rsidRDefault="00BD0B01">
      <w:pPr>
        <w:pStyle w:val="af"/>
      </w:pPr>
      <w:r>
        <w:rPr>
          <w:sz w:val="21"/>
        </w:rPr>
        <w:t>若產品識別、客戶範圍、支援狀態、</w:t>
      </w:r>
      <w:r>
        <w:rPr>
          <w:sz w:val="21"/>
        </w:rPr>
        <w:t xml:space="preserve">ODM/OEM </w:t>
      </w:r>
      <w:r>
        <w:rPr>
          <w:sz w:val="21"/>
        </w:rPr>
        <w:t>權責或</w:t>
      </w:r>
      <w:r>
        <w:rPr>
          <w:sz w:val="21"/>
        </w:rPr>
        <w:t xml:space="preserve"> EU </w:t>
      </w:r>
      <w:r>
        <w:rPr>
          <w:sz w:val="21"/>
        </w:rPr>
        <w:t>市場角色於建案時不明確，</w:t>
      </w:r>
      <w:r>
        <w:rPr>
          <w:sz w:val="21"/>
        </w:rPr>
        <w:t xml:space="preserve">PSIRT </w:t>
      </w:r>
      <w:r>
        <w:rPr>
          <w:sz w:val="21"/>
        </w:rPr>
        <w:t>應通知</w:t>
      </w:r>
      <w:r>
        <w:rPr>
          <w:sz w:val="21"/>
        </w:rPr>
        <w:t xml:space="preserve"> PM </w:t>
      </w:r>
      <w:r>
        <w:rPr>
          <w:sz w:val="21"/>
        </w:rPr>
        <w:t>提供初步確認；</w:t>
      </w:r>
      <w:r>
        <w:rPr>
          <w:sz w:val="21"/>
        </w:rPr>
        <w:t xml:space="preserve">PM </w:t>
      </w:r>
      <w:r>
        <w:rPr>
          <w:sz w:val="21"/>
        </w:rPr>
        <w:t>輸入應記錄於</w:t>
      </w:r>
      <w:r>
        <w:rPr>
          <w:sz w:val="21"/>
        </w:rPr>
        <w:t xml:space="preserve"> Jira </w:t>
      </w:r>
      <w:r>
        <w:rPr>
          <w:sz w:val="21"/>
        </w:rPr>
        <w:t>主案件，並不得延誤必要之回覆、升級或法定通報時限。</w:t>
      </w:r>
    </w:p>
    <w:p w14:paraId="2E2BC9E2" w14:textId="77777777" w:rsidR="00F10BCA" w:rsidRDefault="00BD0B01">
      <w:pPr>
        <w:pStyle w:val="BodyEN"/>
      </w:pPr>
      <w:r>
        <w:rPr>
          <w:sz w:val="21"/>
        </w:rPr>
        <w:t>PSIRT should inform PM to provide preliminary confirmation if product identification, client range, support</w:t>
      </w:r>
      <w:r>
        <w:rPr>
          <w:sz w:val="21"/>
        </w:rPr>
        <w:t xml:space="preserve"> status, </w:t>
      </w:r>
      <w:r>
        <w:rPr>
          <w:sz w:val="21"/>
        </w:rPr>
        <w:lastRenderedPageBreak/>
        <w:t>ODM/OEM mandate or EU market role are not known at the time the case was established; PM input should be recorded in Jira’s main case, and should not delay the required response, upgrade or legal reporting time.</w:t>
      </w:r>
    </w:p>
    <w:p w14:paraId="60ECBEE3" w14:textId="77777777" w:rsidR="00F10BCA" w:rsidRDefault="00BD0B01">
      <w:pPr>
        <w:pStyle w:val="af"/>
      </w:pPr>
      <w:r>
        <w:rPr>
          <w:sz w:val="21"/>
        </w:rPr>
        <w:t>若案件由業務、客服或其他非</w:t>
      </w:r>
      <w:r>
        <w:rPr>
          <w:sz w:val="21"/>
        </w:rPr>
        <w:t xml:space="preserve"> PSIRT </w:t>
      </w:r>
      <w:r>
        <w:rPr>
          <w:sz w:val="21"/>
        </w:rPr>
        <w:t>單位先收到，該單位應於同一工作</w:t>
      </w:r>
      <w:r>
        <w:rPr>
          <w:sz w:val="21"/>
        </w:rPr>
        <w:t>日內轉交</w:t>
      </w:r>
      <w:r>
        <w:rPr>
          <w:sz w:val="21"/>
        </w:rPr>
        <w:t xml:space="preserve"> PSIRT</w:t>
      </w:r>
      <w:r>
        <w:rPr>
          <w:sz w:val="21"/>
        </w:rPr>
        <w:t>，不得自行對外承諾處理結果。</w:t>
      </w:r>
    </w:p>
    <w:p w14:paraId="7563F7DB" w14:textId="77777777" w:rsidR="00F10BCA" w:rsidRDefault="00BD0B01">
      <w:pPr>
        <w:pStyle w:val="BodyEN"/>
      </w:pPr>
      <w:r>
        <w:rPr>
          <w:sz w:val="21"/>
        </w:rPr>
        <w:t>If the case is received first by the business, client service or other non-PSIRT unit, the unit should be transferred to PSIRT within the same working day and may not make its own commitments to the outcome.</w:t>
      </w:r>
    </w:p>
    <w:p w14:paraId="17289442" w14:textId="77777777" w:rsidR="00F10BCA" w:rsidRDefault="00BD0B01">
      <w:pPr>
        <w:pStyle w:val="H2"/>
      </w:pPr>
      <w:r>
        <w:rPr>
          <w:sz w:val="21"/>
        </w:rPr>
        <w:t xml:space="preserve">7.2 </w:t>
      </w:r>
      <w:r>
        <w:rPr>
          <w:sz w:val="21"/>
        </w:rPr>
        <w:t>初步回覆與受理判定</w:t>
      </w:r>
      <w:r>
        <w:rPr>
          <w:sz w:val="21"/>
        </w:rPr>
        <w:t xml:space="preserve"> </w:t>
      </w:r>
      <w:r>
        <w:rPr>
          <w:sz w:val="21"/>
        </w:rPr>
        <w:t>Initial Response and Acceptance</w:t>
      </w:r>
    </w:p>
    <w:p w14:paraId="0ACC59A8" w14:textId="77777777" w:rsidR="00F10BCA" w:rsidRDefault="00BD0B01">
      <w:pPr>
        <w:pStyle w:val="H2EN"/>
      </w:pPr>
      <w:r>
        <w:rPr>
          <w:sz w:val="21"/>
        </w:rPr>
        <w:t>7.2 Initial Response and Acceptance</w:t>
      </w:r>
    </w:p>
    <w:p w14:paraId="5C9845EA" w14:textId="77777777" w:rsidR="00F10BCA" w:rsidRDefault="00BD0B01">
      <w:pPr>
        <w:pStyle w:val="af"/>
      </w:pPr>
      <w:r>
        <w:rPr>
          <w:sz w:val="21"/>
        </w:rPr>
        <w:t>對外通報案件應提供案件識別碼與受理確認。</w:t>
      </w:r>
    </w:p>
    <w:p w14:paraId="58BF1193" w14:textId="77777777" w:rsidR="00F10BCA" w:rsidRDefault="00BD0B01">
      <w:pPr>
        <w:pStyle w:val="BodyEN"/>
      </w:pPr>
      <w:r>
        <w:rPr>
          <w:sz w:val="21"/>
        </w:rPr>
        <w:t>An external report should provide case identification and admissibility confirmation.</w:t>
      </w:r>
    </w:p>
    <w:p w14:paraId="35122000" w14:textId="77777777" w:rsidR="00F10BCA" w:rsidRDefault="00BD0B01">
      <w:pPr>
        <w:pStyle w:val="af"/>
      </w:pPr>
      <w:r>
        <w:rPr>
          <w:sz w:val="21"/>
        </w:rPr>
        <w:t>依</w:t>
      </w:r>
      <w:r>
        <w:rPr>
          <w:sz w:val="21"/>
        </w:rPr>
        <w:t xml:space="preserve"> IEI </w:t>
      </w:r>
      <w:r>
        <w:rPr>
          <w:sz w:val="21"/>
        </w:rPr>
        <w:t>現行公開政策，外部回報後之對外節點至少應包含：</w:t>
      </w:r>
    </w:p>
    <w:p w14:paraId="1362738C" w14:textId="77777777" w:rsidR="00F10BCA" w:rsidRDefault="00BD0B01">
      <w:pPr>
        <w:pStyle w:val="BodyEN"/>
      </w:pPr>
      <w:r>
        <w:rPr>
          <w:sz w:val="21"/>
        </w:rPr>
        <w:t xml:space="preserve">According to IEI's current public policy, external </w:t>
      </w:r>
      <w:r>
        <w:rPr>
          <w:sz w:val="21"/>
        </w:rPr>
        <w:t xml:space="preserve">reporting should include at least the external node.: </w:t>
      </w:r>
    </w:p>
    <w:p w14:paraId="42F789A4" w14:textId="77777777" w:rsidR="00F10BCA" w:rsidRDefault="00BD0B01">
      <w:pPr>
        <w:pStyle w:val="af"/>
      </w:pPr>
      <w:r>
        <w:rPr>
          <w:sz w:val="21"/>
        </w:rPr>
        <w:t>系統自動回覆案件編號：收到時立即提供，若通報管道具備自動回覆功能。</w:t>
      </w:r>
    </w:p>
    <w:p w14:paraId="2D6832DE" w14:textId="77777777" w:rsidR="00F10BCA" w:rsidRDefault="00BD0B01">
      <w:pPr>
        <w:pStyle w:val="BodyEN"/>
      </w:pPr>
      <w:r>
        <w:rPr>
          <w:sz w:val="21"/>
        </w:rPr>
        <w:t>System automatic reply number: This will be provided immediately upon receipt if the conduit is equipped for automatic response.</w:t>
      </w:r>
    </w:p>
    <w:p w14:paraId="117443C5" w14:textId="77777777" w:rsidR="00F10BCA" w:rsidRDefault="00BD0B01">
      <w:pPr>
        <w:pStyle w:val="af"/>
      </w:pPr>
      <w:r>
        <w:rPr>
          <w:sz w:val="21"/>
        </w:rPr>
        <w:t>啟動分析：自收件日起</w:t>
      </w:r>
      <w:r>
        <w:rPr>
          <w:sz w:val="21"/>
        </w:rPr>
        <w:t xml:space="preserve"> 7 </w:t>
      </w:r>
      <w:r>
        <w:rPr>
          <w:sz w:val="21"/>
        </w:rPr>
        <w:t>日內。</w:t>
      </w:r>
    </w:p>
    <w:p w14:paraId="34589D3B" w14:textId="77777777" w:rsidR="00F10BCA" w:rsidRDefault="00BD0B01">
      <w:pPr>
        <w:pStyle w:val="BodyEN"/>
      </w:pPr>
      <w:r>
        <w:rPr>
          <w:sz w:val="21"/>
        </w:rPr>
        <w:t>Start analysis.: With</w:t>
      </w:r>
      <w:r>
        <w:rPr>
          <w:sz w:val="21"/>
        </w:rPr>
        <w:t>in 7 days of receipt.</w:t>
      </w:r>
    </w:p>
    <w:p w14:paraId="4694B0E8" w14:textId="77777777" w:rsidR="00F10BCA" w:rsidRDefault="00BD0B01">
      <w:pPr>
        <w:pStyle w:val="af"/>
      </w:pPr>
      <w:r>
        <w:rPr>
          <w:sz w:val="21"/>
        </w:rPr>
        <w:t>確認是否受理：自啟動分析日起</w:t>
      </w:r>
      <w:r>
        <w:rPr>
          <w:sz w:val="21"/>
        </w:rPr>
        <w:t xml:space="preserve"> 14 </w:t>
      </w:r>
      <w:r>
        <w:rPr>
          <w:sz w:val="21"/>
        </w:rPr>
        <w:t>日內。</w:t>
      </w:r>
    </w:p>
    <w:p w14:paraId="51539144" w14:textId="77777777" w:rsidR="00F10BCA" w:rsidRDefault="00BD0B01">
      <w:pPr>
        <w:pStyle w:val="BodyEN"/>
      </w:pPr>
      <w:r>
        <w:rPr>
          <w:sz w:val="21"/>
        </w:rPr>
        <w:t>Determination of admissibility: Within 14 days of the start of the analysis.</w:t>
      </w:r>
    </w:p>
    <w:p w14:paraId="0DF8C781" w14:textId="77777777" w:rsidR="00F10BCA" w:rsidRDefault="00BD0B01">
      <w:pPr>
        <w:pStyle w:val="af"/>
      </w:pPr>
      <w:r>
        <w:rPr>
          <w:sz w:val="21"/>
        </w:rPr>
        <w:t>若要求補件，時程得自補件完成日重新起算。</w:t>
      </w:r>
    </w:p>
    <w:p w14:paraId="1C0A65A0" w14:textId="77777777" w:rsidR="00F10BCA" w:rsidRDefault="00BD0B01">
      <w:pPr>
        <w:pStyle w:val="BodyEN"/>
      </w:pPr>
      <w:r>
        <w:rPr>
          <w:sz w:val="21"/>
        </w:rPr>
        <w:t>The schedule must be restarted from the date the supplement is completed.</w:t>
      </w:r>
    </w:p>
    <w:p w14:paraId="55E962B9" w14:textId="77777777" w:rsidR="00F10BCA" w:rsidRDefault="00BD0B01">
      <w:pPr>
        <w:pStyle w:val="af"/>
      </w:pPr>
      <w:r>
        <w:rPr>
          <w:sz w:val="21"/>
        </w:rPr>
        <w:t>若通報管道無自動回覆機制，</w:t>
      </w:r>
      <w:r>
        <w:rPr>
          <w:sz w:val="21"/>
        </w:rPr>
        <w:t xml:space="preserve">PSIRT </w:t>
      </w:r>
      <w:r>
        <w:rPr>
          <w:sz w:val="21"/>
        </w:rPr>
        <w:t>應於</w:t>
      </w:r>
      <w:r>
        <w:rPr>
          <w:sz w:val="21"/>
        </w:rPr>
        <w:t xml:space="preserve"> 3 </w:t>
      </w:r>
      <w:proofErr w:type="gramStart"/>
      <w:r>
        <w:rPr>
          <w:sz w:val="21"/>
        </w:rPr>
        <w:t>個</w:t>
      </w:r>
      <w:proofErr w:type="gramEnd"/>
      <w:r>
        <w:rPr>
          <w:sz w:val="21"/>
        </w:rPr>
        <w:t>工作日內以人工方式完成最小回覆</w:t>
      </w:r>
      <w:r>
        <w:rPr>
          <w:sz w:val="21"/>
        </w:rPr>
        <w:t>。</w:t>
      </w:r>
    </w:p>
    <w:p w14:paraId="757D2480" w14:textId="77777777" w:rsidR="00F10BCA" w:rsidRDefault="00BD0B01">
      <w:pPr>
        <w:pStyle w:val="BodyEN"/>
      </w:pPr>
      <w:r>
        <w:rPr>
          <w:sz w:val="21"/>
        </w:rPr>
        <w:t>If the reporting conduit does not have an automatic response system, PSIRT should complete the minimum response manually within 3 working days.</w:t>
      </w:r>
    </w:p>
    <w:p w14:paraId="5CEE45C6" w14:textId="77777777" w:rsidR="00F10BCA" w:rsidRDefault="00BD0B01">
      <w:pPr>
        <w:pStyle w:val="af"/>
      </w:pPr>
      <w:r>
        <w:rPr>
          <w:sz w:val="21"/>
        </w:rPr>
        <w:t>不受理案件應說明原因，例如：</w:t>
      </w:r>
    </w:p>
    <w:p w14:paraId="3BF79FC3" w14:textId="77777777" w:rsidR="00F10BCA" w:rsidRDefault="00BD0B01">
      <w:pPr>
        <w:pStyle w:val="BodyEN"/>
      </w:pPr>
      <w:r>
        <w:rPr>
          <w:sz w:val="21"/>
        </w:rPr>
        <w:t xml:space="preserve">Reasons for non-admissibility, for example: </w:t>
      </w:r>
    </w:p>
    <w:p w14:paraId="25B8C5B9" w14:textId="77777777" w:rsidR="00F10BCA" w:rsidRDefault="00BD0B01">
      <w:pPr>
        <w:pStyle w:val="af"/>
      </w:pPr>
      <w:r>
        <w:rPr>
          <w:sz w:val="21"/>
        </w:rPr>
        <w:t>非</w:t>
      </w:r>
      <w:r>
        <w:rPr>
          <w:sz w:val="21"/>
        </w:rPr>
        <w:t xml:space="preserve"> IEI </w:t>
      </w:r>
      <w:r>
        <w:rPr>
          <w:sz w:val="21"/>
        </w:rPr>
        <w:t>產品或非支援範圍</w:t>
      </w:r>
    </w:p>
    <w:p w14:paraId="3C86016E" w14:textId="77777777" w:rsidR="00F10BCA" w:rsidRDefault="00BD0B01">
      <w:pPr>
        <w:pStyle w:val="BodyEN"/>
      </w:pPr>
      <w:r>
        <w:rPr>
          <w:sz w:val="21"/>
        </w:rPr>
        <w:t xml:space="preserve">Non-IEI product or </w:t>
      </w:r>
      <w:r>
        <w:rPr>
          <w:sz w:val="21"/>
        </w:rPr>
        <w:t>non-support range</w:t>
      </w:r>
    </w:p>
    <w:p w14:paraId="7BF1ADC7" w14:textId="77777777" w:rsidR="00F10BCA" w:rsidRDefault="00BD0B01">
      <w:pPr>
        <w:pStyle w:val="af"/>
      </w:pPr>
      <w:r>
        <w:rPr>
          <w:sz w:val="21"/>
        </w:rPr>
        <w:t>無法驗證且關鍵資訊不足</w:t>
      </w:r>
    </w:p>
    <w:p w14:paraId="01A49CD0" w14:textId="77777777" w:rsidR="00F10BCA" w:rsidRDefault="00BD0B01">
      <w:pPr>
        <w:pStyle w:val="BodyEN"/>
      </w:pPr>
      <w:r>
        <w:rPr>
          <w:sz w:val="21"/>
        </w:rPr>
        <w:t>Unable to verify and critical information insufficient</w:t>
      </w:r>
    </w:p>
    <w:p w14:paraId="2320923C" w14:textId="77777777" w:rsidR="00F10BCA" w:rsidRDefault="00BD0B01">
      <w:pPr>
        <w:pStyle w:val="af"/>
      </w:pPr>
      <w:r>
        <w:rPr>
          <w:sz w:val="21"/>
        </w:rPr>
        <w:t>純一般品質瑕疵且不涉及安全屬性</w:t>
      </w:r>
    </w:p>
    <w:p w14:paraId="3396C3E4" w14:textId="77777777" w:rsidR="00F10BCA" w:rsidRDefault="00BD0B01">
      <w:pPr>
        <w:pStyle w:val="BodyEN"/>
      </w:pPr>
      <w:r>
        <w:rPr>
          <w:sz w:val="21"/>
        </w:rPr>
        <w:t>Pure quality defects without security attributes</w:t>
      </w:r>
    </w:p>
    <w:p w14:paraId="39E5DABB" w14:textId="77777777" w:rsidR="00F10BCA" w:rsidRDefault="00BD0B01">
      <w:pPr>
        <w:pStyle w:val="af"/>
      </w:pPr>
      <w:r>
        <w:rPr>
          <w:sz w:val="21"/>
        </w:rPr>
        <w:t>重複案件且無新增有效資訊</w:t>
      </w:r>
    </w:p>
    <w:p w14:paraId="42051269" w14:textId="77777777" w:rsidR="00F10BCA" w:rsidRDefault="00BD0B01">
      <w:pPr>
        <w:pStyle w:val="BodyEN"/>
      </w:pPr>
      <w:r>
        <w:rPr>
          <w:sz w:val="21"/>
        </w:rPr>
        <w:t>Repeat the case and no additional valid information</w:t>
      </w:r>
    </w:p>
    <w:p w14:paraId="57A01977" w14:textId="77777777" w:rsidR="00F10BCA" w:rsidRDefault="00BD0B01">
      <w:pPr>
        <w:pStyle w:val="af"/>
      </w:pPr>
      <w:r>
        <w:rPr>
          <w:sz w:val="21"/>
        </w:rPr>
        <w:t>若不受理或判定對</w:t>
      </w:r>
      <w:r>
        <w:rPr>
          <w:sz w:val="21"/>
        </w:rPr>
        <w:t xml:space="preserve"> IEI </w:t>
      </w:r>
      <w:r>
        <w:rPr>
          <w:sz w:val="21"/>
        </w:rPr>
        <w:t>產品無影響之案件來自</w:t>
      </w:r>
      <w:r>
        <w:rPr>
          <w:sz w:val="21"/>
        </w:rPr>
        <w:t xml:space="preserve"> ENISA SRP</w:t>
      </w:r>
      <w:r>
        <w:rPr>
          <w:sz w:val="21"/>
        </w:rPr>
        <w:t>、官方</w:t>
      </w:r>
      <w:r>
        <w:rPr>
          <w:sz w:val="21"/>
        </w:rPr>
        <w:t xml:space="preserve"> CERT</w:t>
      </w:r>
      <w:r>
        <w:rPr>
          <w:sz w:val="21"/>
        </w:rPr>
        <w:t>/CSIRT</w:t>
      </w:r>
      <w:r>
        <w:rPr>
          <w:sz w:val="21"/>
        </w:rPr>
        <w:t>、協調者、客戶或可能涉及</w:t>
      </w:r>
      <w:r>
        <w:rPr>
          <w:sz w:val="21"/>
        </w:rPr>
        <w:t xml:space="preserve"> CRA / </w:t>
      </w:r>
      <w:r>
        <w:rPr>
          <w:sz w:val="21"/>
        </w:rPr>
        <w:t>供應鏈責任之來源，</w:t>
      </w:r>
      <w:r>
        <w:rPr>
          <w:sz w:val="21"/>
        </w:rPr>
        <w:t xml:space="preserve">PSIRT </w:t>
      </w:r>
      <w:r>
        <w:rPr>
          <w:sz w:val="21"/>
        </w:rPr>
        <w:t>不得僅以一般不受理結案，應完成</w:t>
      </w:r>
      <w:r>
        <w:rPr>
          <w:sz w:val="21"/>
        </w:rPr>
        <w:t xml:space="preserve"> `Not Affected / Not Applicable` </w:t>
      </w:r>
      <w:r>
        <w:rPr>
          <w:sz w:val="21"/>
        </w:rPr>
        <w:t>判定、必要之正式回覆與</w:t>
      </w:r>
      <w:r>
        <w:rPr>
          <w:sz w:val="21"/>
        </w:rPr>
        <w:t xml:space="preserve"> Jira </w:t>
      </w:r>
      <w:r>
        <w:rPr>
          <w:sz w:val="21"/>
        </w:rPr>
        <w:t>留痕。</w:t>
      </w:r>
    </w:p>
    <w:p w14:paraId="33FDC379" w14:textId="77777777" w:rsidR="00F10BCA" w:rsidRDefault="00BD0B01">
      <w:pPr>
        <w:pStyle w:val="BodyEN"/>
      </w:pPr>
      <w:r>
        <w:rPr>
          <w:sz w:val="21"/>
        </w:rPr>
        <w:t xml:space="preserve">If a case is not admitted or determined to have no impact on the IEI product, it must be concluded by the ENISA SRP, the </w:t>
      </w:r>
      <w:r>
        <w:rPr>
          <w:sz w:val="21"/>
        </w:rPr>
        <w:lastRenderedPageBreak/>
        <w:t xml:space="preserve">official </w:t>
      </w:r>
      <w:r>
        <w:rPr>
          <w:sz w:val="21"/>
        </w:rPr>
        <w:t>CERTT/CSIRT, the mediator, the client, or the source of the possible liability of the CRA / supply chain, the PSIRT shall not simply close the case as a general non-admissibility, but shall complete the `Not Affected / Not Applicable ' decision, the requir</w:t>
      </w:r>
      <w:r>
        <w:rPr>
          <w:sz w:val="21"/>
        </w:rPr>
        <w:t>ed official reply and Jira ' s marks.</w:t>
      </w:r>
    </w:p>
    <w:p w14:paraId="2940B93F" w14:textId="77777777" w:rsidR="00F10BCA" w:rsidRDefault="00BD0B01">
      <w:pPr>
        <w:pStyle w:val="af"/>
      </w:pPr>
      <w:r>
        <w:rPr>
          <w:sz w:val="21"/>
        </w:rPr>
        <w:t>當受理或不受理判定涉及產品歸屬、支援狀態、</w:t>
      </w:r>
      <w:r>
        <w:rPr>
          <w:sz w:val="21"/>
        </w:rPr>
        <w:t>EOL/EOS</w:t>
      </w:r>
      <w:r>
        <w:rPr>
          <w:sz w:val="21"/>
        </w:rPr>
        <w:t>、客製版本、</w:t>
      </w:r>
      <w:r>
        <w:rPr>
          <w:sz w:val="21"/>
        </w:rPr>
        <w:t xml:space="preserve">ODM/OEM </w:t>
      </w:r>
      <w:r>
        <w:rPr>
          <w:sz w:val="21"/>
        </w:rPr>
        <w:t>合約責任或客戶品牌權責時，</w:t>
      </w:r>
      <w:r>
        <w:rPr>
          <w:sz w:val="21"/>
        </w:rPr>
        <w:t xml:space="preserve">PSIRT </w:t>
      </w:r>
      <w:r>
        <w:rPr>
          <w:sz w:val="21"/>
        </w:rPr>
        <w:t>應取得</w:t>
      </w:r>
      <w:r>
        <w:rPr>
          <w:sz w:val="21"/>
        </w:rPr>
        <w:t xml:space="preserve"> PM </w:t>
      </w:r>
      <w:r>
        <w:rPr>
          <w:sz w:val="21"/>
        </w:rPr>
        <w:t>輸入並記錄於</w:t>
      </w:r>
      <w:r>
        <w:rPr>
          <w:sz w:val="21"/>
        </w:rPr>
        <w:t xml:space="preserve"> Jira</w:t>
      </w:r>
      <w:r>
        <w:rPr>
          <w:sz w:val="21"/>
        </w:rPr>
        <w:t>；若資訊不足但案件具高風險或法定時限，應先依</w:t>
      </w:r>
      <w:r>
        <w:rPr>
          <w:sz w:val="21"/>
        </w:rPr>
        <w:t xml:space="preserve"> best available information </w:t>
      </w:r>
      <w:r>
        <w:rPr>
          <w:sz w:val="21"/>
        </w:rPr>
        <w:t>處理並持續更新。</w:t>
      </w:r>
    </w:p>
    <w:p w14:paraId="330F79E2" w14:textId="77777777" w:rsidR="00F10BCA" w:rsidRDefault="00BD0B01">
      <w:pPr>
        <w:pStyle w:val="BodyEN"/>
      </w:pPr>
      <w:r>
        <w:rPr>
          <w:sz w:val="21"/>
        </w:rPr>
        <w:t xml:space="preserve">PSIRT should obtain PM input and record it in Jira when it receives or does not </w:t>
      </w:r>
      <w:r>
        <w:rPr>
          <w:sz w:val="21"/>
        </w:rPr>
        <w:t>receive a decision on the attribution of the product, the state of support, EOL/EOS, the client version, ODM/OEM contract or the customer ' s brand title; if the information is insufficient and the case is of high risk or legal duration, it should be proce</w:t>
      </w:r>
      <w:r>
        <w:rPr>
          <w:sz w:val="21"/>
        </w:rPr>
        <w:t>ssed and updated accordingly.</w:t>
      </w:r>
    </w:p>
    <w:p w14:paraId="73C39E54" w14:textId="77777777" w:rsidR="00F10BCA" w:rsidRDefault="00BD0B01">
      <w:pPr>
        <w:pStyle w:val="H2"/>
      </w:pPr>
      <w:r>
        <w:rPr>
          <w:sz w:val="21"/>
        </w:rPr>
        <w:t xml:space="preserve">7.3 </w:t>
      </w:r>
      <w:r>
        <w:rPr>
          <w:sz w:val="21"/>
        </w:rPr>
        <w:t>驗證與產品影響分析</w:t>
      </w:r>
      <w:r>
        <w:rPr>
          <w:sz w:val="21"/>
        </w:rPr>
        <w:t xml:space="preserve"> Verification and Product Impact Assessment</w:t>
      </w:r>
    </w:p>
    <w:p w14:paraId="329DE471" w14:textId="77777777" w:rsidR="00F10BCA" w:rsidRDefault="00BD0B01">
      <w:pPr>
        <w:pStyle w:val="H2EN"/>
      </w:pPr>
      <w:r>
        <w:rPr>
          <w:sz w:val="21"/>
        </w:rPr>
        <w:t>7.3 Verification and Product Impact Assessment</w:t>
      </w:r>
    </w:p>
    <w:p w14:paraId="6E519A7D" w14:textId="77777777" w:rsidR="00F10BCA" w:rsidRDefault="00BD0B01">
      <w:pPr>
        <w:pStyle w:val="af"/>
      </w:pPr>
      <w:r>
        <w:rPr>
          <w:sz w:val="21"/>
        </w:rPr>
        <w:t xml:space="preserve">PSIRT </w:t>
      </w:r>
      <w:r>
        <w:rPr>
          <w:sz w:val="21"/>
        </w:rPr>
        <w:t>與</w:t>
      </w:r>
      <w:r>
        <w:rPr>
          <w:sz w:val="21"/>
        </w:rPr>
        <w:t xml:space="preserve"> RD/DQV </w:t>
      </w:r>
      <w:r>
        <w:rPr>
          <w:sz w:val="21"/>
        </w:rPr>
        <w:t>應確認案件是否可重現、是否影響產品安全以及是否存在合理攻擊情境。</w:t>
      </w:r>
    </w:p>
    <w:p w14:paraId="4BA0ACA3" w14:textId="77777777" w:rsidR="00F10BCA" w:rsidRDefault="00BD0B01">
      <w:pPr>
        <w:pStyle w:val="BodyEN"/>
      </w:pPr>
      <w:r>
        <w:rPr>
          <w:sz w:val="21"/>
        </w:rPr>
        <w:t>PSIRT and RD/DQV should confirm whether the case is re-emerging, affecting</w:t>
      </w:r>
      <w:r>
        <w:rPr>
          <w:sz w:val="21"/>
        </w:rPr>
        <w:t xml:space="preserve"> the safety of the product, and whether there is a reasonable attack.</w:t>
      </w:r>
    </w:p>
    <w:p w14:paraId="6E0BD389" w14:textId="77777777" w:rsidR="00F10BCA" w:rsidRDefault="00BD0B01">
      <w:pPr>
        <w:pStyle w:val="af"/>
      </w:pPr>
      <w:r>
        <w:rPr>
          <w:sz w:val="21"/>
        </w:rPr>
        <w:t>影響分析至少應涵蓋：</w:t>
      </w:r>
    </w:p>
    <w:p w14:paraId="56BF254E" w14:textId="77777777" w:rsidR="00F10BCA" w:rsidRDefault="00BD0B01">
      <w:pPr>
        <w:pStyle w:val="BodyEN"/>
      </w:pPr>
      <w:r>
        <w:rPr>
          <w:sz w:val="21"/>
        </w:rPr>
        <w:t xml:space="preserve">Impact analysis should at least cover it.: </w:t>
      </w:r>
    </w:p>
    <w:p w14:paraId="7E0708F5" w14:textId="77777777" w:rsidR="00F10BCA" w:rsidRDefault="00BD0B01">
      <w:pPr>
        <w:pStyle w:val="af"/>
      </w:pPr>
      <w:r>
        <w:rPr>
          <w:sz w:val="21"/>
        </w:rPr>
        <w:t>受影響</w:t>
      </w:r>
      <w:r>
        <w:rPr>
          <w:sz w:val="21"/>
        </w:rPr>
        <w:t xml:space="preserve"> product family</w:t>
      </w:r>
      <w:r>
        <w:rPr>
          <w:sz w:val="21"/>
        </w:rPr>
        <w:t>、型號、版本、平台與</w:t>
      </w:r>
      <w:r>
        <w:rPr>
          <w:sz w:val="21"/>
        </w:rPr>
        <w:t xml:space="preserve"> BOM variant</w:t>
      </w:r>
    </w:p>
    <w:p w14:paraId="6EEFA739" w14:textId="77777777" w:rsidR="00F10BCA" w:rsidRDefault="00BD0B01">
      <w:pPr>
        <w:pStyle w:val="BodyEN"/>
      </w:pPr>
      <w:r>
        <w:rPr>
          <w:sz w:val="21"/>
        </w:rPr>
        <w:t>Impact family, model, version, platform and BOM varant</w:t>
      </w:r>
    </w:p>
    <w:p w14:paraId="7AEF183C" w14:textId="77777777" w:rsidR="00F10BCA" w:rsidRDefault="00BD0B01">
      <w:pPr>
        <w:pStyle w:val="af"/>
      </w:pPr>
      <w:r>
        <w:rPr>
          <w:sz w:val="21"/>
        </w:rPr>
        <w:t>是否涉及第三方元件、供應商公告、既有</w:t>
      </w:r>
      <w:r>
        <w:rPr>
          <w:sz w:val="21"/>
        </w:rPr>
        <w:t xml:space="preserve"> CVE </w:t>
      </w:r>
      <w:r>
        <w:rPr>
          <w:sz w:val="21"/>
        </w:rPr>
        <w:t>或上游修補</w:t>
      </w:r>
    </w:p>
    <w:p w14:paraId="4181B09B" w14:textId="77777777" w:rsidR="00F10BCA" w:rsidRDefault="00BD0B01">
      <w:pPr>
        <w:pStyle w:val="BodyEN"/>
      </w:pPr>
      <w:r>
        <w:rPr>
          <w:sz w:val="21"/>
        </w:rPr>
        <w:t>Whethe</w:t>
      </w:r>
      <w:r>
        <w:rPr>
          <w:sz w:val="21"/>
        </w:rPr>
        <w:t>r third-party components, supplier announcements, existing CVE or upstream repair are involved</w:t>
      </w:r>
    </w:p>
    <w:p w14:paraId="2760F90F" w14:textId="77777777" w:rsidR="00F10BCA" w:rsidRDefault="00BD0B01">
      <w:pPr>
        <w:pStyle w:val="af"/>
      </w:pPr>
      <w:r>
        <w:rPr>
          <w:sz w:val="21"/>
        </w:rPr>
        <w:t>軟體與韌體元件盤點結果，必要時對應至</w:t>
      </w:r>
      <w:r>
        <w:rPr>
          <w:sz w:val="21"/>
        </w:rPr>
        <w:t xml:space="preserve"> SBOM</w:t>
      </w:r>
    </w:p>
    <w:p w14:paraId="4E3F8A9E" w14:textId="77777777" w:rsidR="00F10BCA" w:rsidRDefault="00BD0B01">
      <w:pPr>
        <w:pStyle w:val="BodyEN"/>
      </w:pPr>
      <w:r>
        <w:rPr>
          <w:sz w:val="21"/>
        </w:rPr>
        <w:t>The results of the disk of software and swirl widgets are matched to SBOM if necessary</w:t>
      </w:r>
    </w:p>
    <w:p w14:paraId="76B5A4E3" w14:textId="77777777" w:rsidR="00F10BCA" w:rsidRDefault="00BD0B01">
      <w:pPr>
        <w:pStyle w:val="af"/>
      </w:pPr>
      <w:r>
        <w:rPr>
          <w:sz w:val="21"/>
        </w:rPr>
        <w:t>硬體、晶片、模組或安全相關元件盤點結果，必要時對應至</w:t>
      </w:r>
      <w:r>
        <w:rPr>
          <w:sz w:val="21"/>
        </w:rPr>
        <w:t xml:space="preserve"> HBOM </w:t>
      </w:r>
      <w:proofErr w:type="gramStart"/>
      <w:r>
        <w:rPr>
          <w:sz w:val="21"/>
        </w:rPr>
        <w:t>或等效硬體</w:t>
      </w:r>
      <w:proofErr w:type="gramEnd"/>
      <w:r>
        <w:rPr>
          <w:sz w:val="21"/>
        </w:rPr>
        <w:t>元件清單</w:t>
      </w:r>
    </w:p>
    <w:p w14:paraId="3183A256" w14:textId="77777777" w:rsidR="00F10BCA" w:rsidRDefault="00BD0B01">
      <w:pPr>
        <w:pStyle w:val="BodyEN"/>
      </w:pPr>
      <w:r>
        <w:rPr>
          <w:sz w:val="21"/>
        </w:rPr>
        <w:t>Hardware</w:t>
      </w:r>
      <w:r>
        <w:rPr>
          <w:sz w:val="21"/>
        </w:rPr>
        <w:t>, chip, module, or safety-related component plate results, if necessary, to HBOM or equivalent hardware component list</w:t>
      </w:r>
    </w:p>
    <w:p w14:paraId="21F7791D" w14:textId="77777777" w:rsidR="00F10BCA" w:rsidRDefault="00BD0B01">
      <w:pPr>
        <w:pStyle w:val="af"/>
      </w:pPr>
      <w:r>
        <w:rPr>
          <w:sz w:val="21"/>
        </w:rPr>
        <w:t>硬體識別資訊與軟體</w:t>
      </w:r>
      <w:r>
        <w:rPr>
          <w:sz w:val="21"/>
        </w:rPr>
        <w:t>/</w:t>
      </w:r>
      <w:r>
        <w:rPr>
          <w:sz w:val="21"/>
        </w:rPr>
        <w:t>韌體識別資訊是否可分別支持受影響範圍判定</w:t>
      </w:r>
    </w:p>
    <w:p w14:paraId="2DEE0608" w14:textId="77777777" w:rsidR="00F10BCA" w:rsidRDefault="00BD0B01">
      <w:pPr>
        <w:pStyle w:val="BodyEN"/>
      </w:pPr>
      <w:r>
        <w:rPr>
          <w:sz w:val="21"/>
        </w:rPr>
        <w:t>Whether hardware and software/sensitization information can be disaggregated to support the impact range</w:t>
      </w:r>
    </w:p>
    <w:p w14:paraId="1F6A3919" w14:textId="77777777" w:rsidR="00F10BCA" w:rsidRDefault="00BD0B01">
      <w:pPr>
        <w:pStyle w:val="af"/>
      </w:pPr>
      <w:r>
        <w:rPr>
          <w:sz w:val="21"/>
        </w:rPr>
        <w:t>C</w:t>
      </w:r>
      <w:r>
        <w:rPr>
          <w:sz w:val="21"/>
        </w:rPr>
        <w:t xml:space="preserve">VSS </w:t>
      </w:r>
      <w:r>
        <w:rPr>
          <w:sz w:val="21"/>
        </w:rPr>
        <w:t>分數與風險等級（</w:t>
      </w:r>
      <w:r>
        <w:rPr>
          <w:sz w:val="21"/>
        </w:rPr>
        <w:t>Low / Medium / High / Critical</w:t>
      </w:r>
      <w:r>
        <w:rPr>
          <w:sz w:val="21"/>
        </w:rPr>
        <w:t>）</w:t>
      </w:r>
    </w:p>
    <w:p w14:paraId="491D45E7" w14:textId="77777777" w:rsidR="00F10BCA" w:rsidRDefault="00BD0B01">
      <w:pPr>
        <w:pStyle w:val="BodyEN"/>
      </w:pPr>
      <w:r>
        <w:rPr>
          <w:sz w:val="21"/>
        </w:rPr>
        <w:t>CVSS Scores and Risk Levels (Low / Media / High / Crisis)</w:t>
      </w:r>
    </w:p>
    <w:p w14:paraId="030F9640" w14:textId="77777777" w:rsidR="00F10BCA" w:rsidRDefault="00BD0B01">
      <w:pPr>
        <w:pStyle w:val="af"/>
      </w:pPr>
      <w:r>
        <w:rPr>
          <w:sz w:val="21"/>
        </w:rPr>
        <w:t>是否已有公開</w:t>
      </w:r>
      <w:r>
        <w:rPr>
          <w:sz w:val="21"/>
        </w:rPr>
        <w:t xml:space="preserve"> exploit</w:t>
      </w:r>
      <w:r>
        <w:rPr>
          <w:sz w:val="21"/>
        </w:rPr>
        <w:t>、在野利用、已知攻擊活動</w:t>
      </w:r>
    </w:p>
    <w:p w14:paraId="0803B4E0" w14:textId="77777777" w:rsidR="00F10BCA" w:rsidRDefault="00BD0B01">
      <w:pPr>
        <w:pStyle w:val="BodyEN"/>
      </w:pPr>
      <w:r>
        <w:rPr>
          <w:sz w:val="21"/>
        </w:rPr>
        <w:t>Is there any public access, field use, known attacks?</w:t>
      </w:r>
    </w:p>
    <w:p w14:paraId="113E9B85" w14:textId="77777777" w:rsidR="00F10BCA" w:rsidRDefault="00BD0B01">
      <w:pPr>
        <w:pStyle w:val="af"/>
      </w:pPr>
      <w:r>
        <w:rPr>
          <w:sz w:val="21"/>
        </w:rPr>
        <w:t>量產、</w:t>
      </w:r>
      <w:proofErr w:type="gramStart"/>
      <w:r>
        <w:rPr>
          <w:sz w:val="21"/>
        </w:rPr>
        <w:t>在場</w:t>
      </w:r>
      <w:proofErr w:type="gramEnd"/>
      <w:r>
        <w:rPr>
          <w:sz w:val="21"/>
        </w:rPr>
        <w:t>、已交付、</w:t>
      </w:r>
      <w:r>
        <w:rPr>
          <w:sz w:val="21"/>
        </w:rPr>
        <w:t xml:space="preserve">ODM/OEM </w:t>
      </w:r>
      <w:r>
        <w:rPr>
          <w:sz w:val="21"/>
        </w:rPr>
        <w:t>客戶與關鍵產業別</w:t>
      </w:r>
      <w:proofErr w:type="gramStart"/>
      <w:r>
        <w:rPr>
          <w:sz w:val="21"/>
        </w:rPr>
        <w:t>之</w:t>
      </w:r>
      <w:proofErr w:type="gramEnd"/>
      <w:r>
        <w:rPr>
          <w:sz w:val="21"/>
        </w:rPr>
        <w:t>影響</w:t>
      </w:r>
    </w:p>
    <w:p w14:paraId="29E0F2E2" w14:textId="77777777" w:rsidR="00F10BCA" w:rsidRDefault="00BD0B01">
      <w:pPr>
        <w:pStyle w:val="BodyEN"/>
      </w:pPr>
      <w:r>
        <w:rPr>
          <w:sz w:val="21"/>
        </w:rPr>
        <w:t>Impact of volume, presence, delivery, ODM/O</w:t>
      </w:r>
      <w:r>
        <w:rPr>
          <w:sz w:val="21"/>
        </w:rPr>
        <w:t>EM clients and key industries</w:t>
      </w:r>
    </w:p>
    <w:p w14:paraId="35D28DD3" w14:textId="77777777" w:rsidR="00F10BCA" w:rsidRDefault="00BD0B01">
      <w:pPr>
        <w:pStyle w:val="af"/>
      </w:pPr>
      <w:r>
        <w:rPr>
          <w:sz w:val="21"/>
        </w:rPr>
        <w:t xml:space="preserve">IEI </w:t>
      </w:r>
      <w:r>
        <w:rPr>
          <w:sz w:val="21"/>
        </w:rPr>
        <w:t>品牌、</w:t>
      </w:r>
      <w:r>
        <w:rPr>
          <w:sz w:val="21"/>
        </w:rPr>
        <w:t xml:space="preserve">ODM/OEM </w:t>
      </w:r>
      <w:r>
        <w:rPr>
          <w:sz w:val="21"/>
        </w:rPr>
        <w:t>客製、客戶品牌上市、</w:t>
      </w:r>
      <w:r>
        <w:rPr>
          <w:sz w:val="21"/>
        </w:rPr>
        <w:t>EU importer/distributor</w:t>
      </w:r>
      <w:r>
        <w:rPr>
          <w:sz w:val="21"/>
        </w:rPr>
        <w:t>、</w:t>
      </w:r>
      <w:r>
        <w:rPr>
          <w:sz w:val="21"/>
        </w:rPr>
        <w:t>authorized representative</w:t>
      </w:r>
      <w:r>
        <w:rPr>
          <w:sz w:val="21"/>
        </w:rPr>
        <w:t>、主要</w:t>
      </w:r>
      <w:r>
        <w:rPr>
          <w:sz w:val="21"/>
        </w:rPr>
        <w:t xml:space="preserve"> EU </w:t>
      </w:r>
      <w:r>
        <w:rPr>
          <w:sz w:val="21"/>
        </w:rPr>
        <w:t>市場與合約通知義務</w:t>
      </w:r>
    </w:p>
    <w:p w14:paraId="69979EF2" w14:textId="77777777" w:rsidR="00F10BCA" w:rsidRDefault="00BD0B01">
      <w:pPr>
        <w:pStyle w:val="BodyEN"/>
      </w:pPr>
      <w:r>
        <w:rPr>
          <w:sz w:val="21"/>
        </w:rPr>
        <w:t>IEI brand, ODM/OEM client, customer brand listing, EU agent/distributor, advanced registration, major EU market and contract notificati</w:t>
      </w:r>
      <w:r>
        <w:rPr>
          <w:sz w:val="21"/>
        </w:rPr>
        <w:t>on obligation</w:t>
      </w:r>
    </w:p>
    <w:p w14:paraId="78B9906A" w14:textId="77777777" w:rsidR="00F10BCA" w:rsidRDefault="00BD0B01">
      <w:pPr>
        <w:pStyle w:val="af"/>
      </w:pPr>
      <w:r>
        <w:rPr>
          <w:sz w:val="21"/>
        </w:rPr>
        <w:t>是否屬</w:t>
      </w:r>
      <w:r>
        <w:rPr>
          <w:sz w:val="21"/>
        </w:rPr>
        <w:t xml:space="preserve"> EOS/EOL </w:t>
      </w:r>
      <w:r>
        <w:rPr>
          <w:sz w:val="21"/>
        </w:rPr>
        <w:t>或支援期內產品</w:t>
      </w:r>
    </w:p>
    <w:p w14:paraId="01E61EEF" w14:textId="77777777" w:rsidR="00F10BCA" w:rsidRDefault="00BD0B01">
      <w:pPr>
        <w:pStyle w:val="BodyEN"/>
      </w:pPr>
      <w:r>
        <w:rPr>
          <w:sz w:val="21"/>
        </w:rPr>
        <w:lastRenderedPageBreak/>
        <w:t>Whether EOS/EOL or support period end product</w:t>
      </w:r>
    </w:p>
    <w:p w14:paraId="743D6401" w14:textId="77777777" w:rsidR="00F10BCA" w:rsidRDefault="00BD0B01">
      <w:pPr>
        <w:pStyle w:val="af"/>
      </w:pPr>
      <w:r>
        <w:rPr>
          <w:sz w:val="21"/>
        </w:rPr>
        <w:t xml:space="preserve">PM </w:t>
      </w:r>
      <w:r>
        <w:rPr>
          <w:sz w:val="21"/>
        </w:rPr>
        <w:t>應於影響分析階段提供產品與客戶影響範圍輸入，至少包含標準品與</w:t>
      </w:r>
      <w:r>
        <w:rPr>
          <w:sz w:val="21"/>
        </w:rPr>
        <w:t xml:space="preserve"> ODM/OEM </w:t>
      </w:r>
      <w:r>
        <w:rPr>
          <w:sz w:val="21"/>
        </w:rPr>
        <w:t>客製品是否受影響、已出貨</w:t>
      </w:r>
      <w:proofErr w:type="gramStart"/>
      <w:r>
        <w:rPr>
          <w:sz w:val="21"/>
        </w:rPr>
        <w:t>或在場產品</w:t>
      </w:r>
      <w:proofErr w:type="gramEnd"/>
      <w:r>
        <w:rPr>
          <w:sz w:val="21"/>
        </w:rPr>
        <w:t>範圍、銷售與支援狀態、</w:t>
      </w:r>
      <w:r>
        <w:rPr>
          <w:sz w:val="21"/>
        </w:rPr>
        <w:t xml:space="preserve">EOL/EOS </w:t>
      </w:r>
      <w:r>
        <w:rPr>
          <w:sz w:val="21"/>
        </w:rPr>
        <w:t>判定、重大客戶或關鍵產業客戶、合約通知義務、</w:t>
      </w:r>
      <w:r>
        <w:rPr>
          <w:sz w:val="21"/>
        </w:rPr>
        <w:t xml:space="preserve">EU </w:t>
      </w:r>
      <w:r>
        <w:rPr>
          <w:sz w:val="21"/>
        </w:rPr>
        <w:t>市場角色與供應鏈責任鏈。</w:t>
      </w:r>
      <w:r>
        <w:rPr>
          <w:sz w:val="21"/>
        </w:rPr>
        <w:t xml:space="preserve">RD/DQV </w:t>
      </w:r>
      <w:r>
        <w:rPr>
          <w:sz w:val="21"/>
        </w:rPr>
        <w:t>負責技術驗證與測試證據，</w:t>
      </w:r>
      <w:r>
        <w:rPr>
          <w:sz w:val="21"/>
        </w:rPr>
        <w:t xml:space="preserve">PSIRT </w:t>
      </w:r>
      <w:r>
        <w:rPr>
          <w:sz w:val="21"/>
        </w:rPr>
        <w:t>負責整合安全風險與流程判定。</w:t>
      </w:r>
    </w:p>
    <w:p w14:paraId="72326882" w14:textId="77777777" w:rsidR="00F10BCA" w:rsidRDefault="00BD0B01">
      <w:pPr>
        <w:pStyle w:val="BodyEN"/>
      </w:pPr>
      <w:r>
        <w:rPr>
          <w:sz w:val="21"/>
        </w:rPr>
        <w:t xml:space="preserve">PM should </w:t>
      </w:r>
      <w:r>
        <w:rPr>
          <w:sz w:val="21"/>
        </w:rPr>
        <w:t>provide a range of product and customer impacts at the impact analysis level, including at least standard products and whether the ODM/OEM customer product is affected, already shipped or within the range of the product, sales and support status, EOL/EOS d</w:t>
      </w:r>
      <w:r>
        <w:rPr>
          <w:sz w:val="21"/>
        </w:rPr>
        <w:t xml:space="preserve">etermination, major clients or key industry clients, contract notification obligations, EU market role and supply chain liability. RD/DQV is responsible for technical testing and testing evidence and PSIRT is responsible for integrating security risks and </w:t>
      </w:r>
      <w:r>
        <w:rPr>
          <w:sz w:val="21"/>
        </w:rPr>
        <w:t>process determinations.</w:t>
      </w:r>
    </w:p>
    <w:p w14:paraId="12E03499" w14:textId="77777777" w:rsidR="00F10BCA" w:rsidRDefault="00BD0B01">
      <w:pPr>
        <w:pStyle w:val="af"/>
      </w:pPr>
      <w:r>
        <w:rPr>
          <w:sz w:val="21"/>
        </w:rPr>
        <w:t>若案件涉及第三方元件，應同步建立供應商協調子任務，並保留上游公告、</w:t>
      </w:r>
      <w:r>
        <w:rPr>
          <w:sz w:val="21"/>
        </w:rPr>
        <w:t>patch ETA</w:t>
      </w:r>
      <w:r>
        <w:rPr>
          <w:sz w:val="21"/>
        </w:rPr>
        <w:t>、</w:t>
      </w:r>
      <w:r>
        <w:rPr>
          <w:sz w:val="21"/>
        </w:rPr>
        <w:t xml:space="preserve">workaround </w:t>
      </w:r>
      <w:r>
        <w:rPr>
          <w:sz w:val="21"/>
        </w:rPr>
        <w:t>與相依條件之記錄。</w:t>
      </w:r>
    </w:p>
    <w:p w14:paraId="3E4E7E51" w14:textId="77777777" w:rsidR="00F10BCA" w:rsidRDefault="00BD0B01">
      <w:pPr>
        <w:pStyle w:val="BodyEN"/>
      </w:pPr>
      <w:r>
        <w:rPr>
          <w:sz w:val="21"/>
        </w:rPr>
        <w:t>If a third-party component is involved, the supplier’s coordination sub-mission should be created simultaneously, and upstream bulletins, Patch ETA, logbook and conditi</w:t>
      </w:r>
      <w:r>
        <w:rPr>
          <w:sz w:val="21"/>
        </w:rPr>
        <w:t>oned records kept.</w:t>
      </w:r>
    </w:p>
    <w:p w14:paraId="6450ADC2" w14:textId="77777777" w:rsidR="00F10BCA" w:rsidRDefault="00BD0B01">
      <w:pPr>
        <w:pStyle w:val="af"/>
      </w:pPr>
      <w:r>
        <w:rPr>
          <w:sz w:val="21"/>
        </w:rPr>
        <w:t>若案件可對產品造成重大安全衝擊或疑似已遭利用，</w:t>
      </w:r>
      <w:r>
        <w:rPr>
          <w:sz w:val="21"/>
        </w:rPr>
        <w:t xml:space="preserve">PSIRT </w:t>
      </w:r>
      <w:r>
        <w:rPr>
          <w:sz w:val="21"/>
        </w:rPr>
        <w:t>應立即升級為高優先案件，不受一般分析排程限制。</w:t>
      </w:r>
    </w:p>
    <w:p w14:paraId="0626DE7F" w14:textId="77777777" w:rsidR="00F10BCA" w:rsidRDefault="00BD0B01">
      <w:pPr>
        <w:pStyle w:val="BodyEN"/>
      </w:pPr>
      <w:r>
        <w:rPr>
          <w:sz w:val="21"/>
        </w:rPr>
        <w:t>If a case may cause significant security impact to a product or is suspected to have been exploited, PSIRT shall immediately escalate it as a high-priority case outside the normal anal</w:t>
      </w:r>
      <w:r>
        <w:rPr>
          <w:sz w:val="21"/>
        </w:rPr>
        <w:t>ysis schedule.</w:t>
      </w:r>
    </w:p>
    <w:p w14:paraId="1C325AA6" w14:textId="77777777" w:rsidR="00F10BCA" w:rsidRDefault="00BD0B01">
      <w:pPr>
        <w:pStyle w:val="H2"/>
      </w:pPr>
      <w:r>
        <w:rPr>
          <w:sz w:val="21"/>
        </w:rPr>
        <w:t xml:space="preserve">7.4 </w:t>
      </w:r>
      <w:r>
        <w:rPr>
          <w:sz w:val="21"/>
        </w:rPr>
        <w:t>已遭利用狀態判定</w:t>
      </w:r>
      <w:r>
        <w:rPr>
          <w:sz w:val="21"/>
        </w:rPr>
        <w:t xml:space="preserve"> Exploitation Status Determination</w:t>
      </w:r>
    </w:p>
    <w:p w14:paraId="52CC41BC" w14:textId="77777777" w:rsidR="00F10BCA" w:rsidRDefault="00BD0B01">
      <w:pPr>
        <w:pStyle w:val="H2EN"/>
      </w:pPr>
      <w:r>
        <w:rPr>
          <w:sz w:val="21"/>
        </w:rPr>
        <w:t>7.4 Exploitation Status Determination</w:t>
      </w:r>
    </w:p>
    <w:p w14:paraId="0102A251" w14:textId="77777777" w:rsidR="00F10BCA" w:rsidRDefault="00BD0B01">
      <w:pPr>
        <w:pStyle w:val="Body"/>
      </w:pPr>
      <w:r>
        <w:rPr>
          <w:sz w:val="21"/>
        </w:rPr>
        <w:t xml:space="preserve">PSIRT </w:t>
      </w:r>
      <w:r>
        <w:rPr>
          <w:sz w:val="21"/>
        </w:rPr>
        <w:t>應於弱點受理、驗證與影響分析階段，判定並持續更新案件之利用狀態。判定結果應記錄於</w:t>
      </w:r>
      <w:r>
        <w:rPr>
          <w:sz w:val="21"/>
        </w:rPr>
        <w:t xml:space="preserve"> Jira </w:t>
      </w:r>
      <w:r>
        <w:rPr>
          <w:sz w:val="21"/>
        </w:rPr>
        <w:t>主案件，並作為優先級、通報、揭露與修補時程之依據。</w:t>
      </w:r>
    </w:p>
    <w:p w14:paraId="5D19A8CF" w14:textId="77777777" w:rsidR="00F10BCA" w:rsidRDefault="00BD0B01">
      <w:pPr>
        <w:pStyle w:val="BodyEN"/>
      </w:pPr>
      <w:r>
        <w:rPr>
          <w:sz w:val="21"/>
        </w:rPr>
        <w:t xml:space="preserve">PSIRT is supposed to receive, validate and influence analysis sessions at </w:t>
      </w:r>
      <w:r>
        <w:rPr>
          <w:sz w:val="21"/>
        </w:rPr>
        <w:t>the weak points and determine and keep up to date the state of utilization of the case. The findings should be recorded in the Jira main case and serve as a basis for prioritization, reporting, disclosure and compensation.</w:t>
      </w:r>
    </w:p>
    <w:p w14:paraId="3C6DED8F" w14:textId="77777777" w:rsidR="00F10BCA" w:rsidRDefault="00BD0B01">
      <w:pPr>
        <w:pStyle w:val="Body"/>
      </w:pPr>
      <w:r>
        <w:rPr>
          <w:sz w:val="21"/>
        </w:rPr>
        <w:t xml:space="preserve">E0 / E1 / E2 / E3 </w:t>
      </w:r>
      <w:r>
        <w:rPr>
          <w:sz w:val="21"/>
        </w:rPr>
        <w:t>適用於已確認或合理懷疑影響</w:t>
      </w:r>
      <w:r>
        <w:rPr>
          <w:sz w:val="21"/>
        </w:rPr>
        <w:t xml:space="preserve"> I</w:t>
      </w:r>
      <w:r>
        <w:rPr>
          <w:sz w:val="21"/>
        </w:rPr>
        <w:t xml:space="preserve">EI </w:t>
      </w:r>
      <w:r>
        <w:rPr>
          <w:sz w:val="21"/>
        </w:rPr>
        <w:t>產品之弱點或安全事件。若經查核確認不影響</w:t>
      </w:r>
      <w:r>
        <w:rPr>
          <w:sz w:val="21"/>
        </w:rPr>
        <w:t xml:space="preserve"> IEI </w:t>
      </w:r>
      <w:r>
        <w:rPr>
          <w:sz w:val="21"/>
        </w:rPr>
        <w:t>產品、非</w:t>
      </w:r>
      <w:r>
        <w:rPr>
          <w:sz w:val="21"/>
        </w:rPr>
        <w:t xml:space="preserve"> IEI </w:t>
      </w:r>
      <w:r>
        <w:rPr>
          <w:sz w:val="21"/>
        </w:rPr>
        <w:t>產品或不屬</w:t>
      </w:r>
      <w:r>
        <w:rPr>
          <w:sz w:val="21"/>
        </w:rPr>
        <w:t xml:space="preserve"> IEI CRA / </w:t>
      </w:r>
      <w:r>
        <w:rPr>
          <w:sz w:val="21"/>
        </w:rPr>
        <w:t>供應鏈責任範圍，應標記為</w:t>
      </w:r>
      <w:r>
        <w:rPr>
          <w:sz w:val="21"/>
        </w:rPr>
        <w:t xml:space="preserve"> `Not Affected / Not Applicable`</w:t>
      </w:r>
      <w:r>
        <w:rPr>
          <w:sz w:val="21"/>
        </w:rPr>
        <w:t>，並依來源性質完成必要回覆；不得為了套用</w:t>
      </w:r>
      <w:r>
        <w:rPr>
          <w:sz w:val="21"/>
        </w:rPr>
        <w:t xml:space="preserve"> exploitation status </w:t>
      </w:r>
      <w:r>
        <w:rPr>
          <w:sz w:val="21"/>
        </w:rPr>
        <w:t>而歸入</w:t>
      </w:r>
      <w:r>
        <w:rPr>
          <w:sz w:val="21"/>
        </w:rPr>
        <w:t xml:space="preserve"> E0 / E1 / E2 / E3</w:t>
      </w:r>
      <w:r>
        <w:rPr>
          <w:sz w:val="21"/>
        </w:rPr>
        <w:t>。</w:t>
      </w:r>
    </w:p>
    <w:p w14:paraId="603F5C84" w14:textId="77777777" w:rsidR="00F10BCA" w:rsidRDefault="00BD0B01">
      <w:pPr>
        <w:pStyle w:val="BodyEN"/>
      </w:pPr>
      <w:r>
        <w:rPr>
          <w:sz w:val="21"/>
        </w:rPr>
        <w:t>E0 / E1 / E2 / E3 applies to identified or reasonably suspected vulnerabilities or security inc</w:t>
      </w:r>
      <w:r>
        <w:rPr>
          <w:sz w:val="21"/>
        </w:rPr>
        <w:t>idents affecting IEI products. If it is verified that it does not affect IEI products, non-IEI products or not within the IEI CRA/ supply chain liability range, it shall be marked `not Afflicted / Not Applicable ' and complete the necessary response by sou</w:t>
      </w:r>
      <w:r>
        <w:rPr>
          <w:sz w:val="21"/>
        </w:rPr>
        <w:t>rce; no E0/ E1/ E2/ E3 for the purpose of embedding EPI status.</w:t>
      </w:r>
    </w:p>
    <w:tbl>
      <w:tblPr>
        <w:tblStyle w:val="a7"/>
        <w:tblW w:w="0" w:type="auto"/>
        <w:tblLook w:val="04A0" w:firstRow="1" w:lastRow="0" w:firstColumn="1" w:lastColumn="0" w:noHBand="0" w:noVBand="1"/>
      </w:tblPr>
      <w:tblGrid>
        <w:gridCol w:w="2613"/>
        <w:gridCol w:w="2614"/>
        <w:gridCol w:w="2615"/>
        <w:gridCol w:w="2614"/>
      </w:tblGrid>
      <w:tr w:rsidR="00F10BCA" w14:paraId="0CC60037" w14:textId="77777777">
        <w:tc>
          <w:tcPr>
            <w:tcW w:w="2616" w:type="dxa"/>
          </w:tcPr>
          <w:p w14:paraId="79CD1E6C" w14:textId="77777777" w:rsidR="00F10BCA" w:rsidRDefault="00BD0B01">
            <w:r>
              <w:rPr>
                <w:b/>
              </w:rPr>
              <w:t>等級</w:t>
            </w:r>
          </w:p>
          <w:p w14:paraId="4D1519B5" w14:textId="77777777" w:rsidR="00F10BCA" w:rsidRDefault="00BD0B01">
            <w:r>
              <w:t>Level</w:t>
            </w:r>
          </w:p>
        </w:tc>
        <w:tc>
          <w:tcPr>
            <w:tcW w:w="2616" w:type="dxa"/>
          </w:tcPr>
          <w:p w14:paraId="3D8813FD" w14:textId="77777777" w:rsidR="00F10BCA" w:rsidRDefault="00BD0B01">
            <w:r>
              <w:rPr>
                <w:b/>
              </w:rPr>
              <w:t>名稱</w:t>
            </w:r>
          </w:p>
          <w:p w14:paraId="2873A595" w14:textId="77777777" w:rsidR="00F10BCA" w:rsidRDefault="00BD0B01">
            <w:r>
              <w:t>Name</w:t>
            </w:r>
          </w:p>
        </w:tc>
        <w:tc>
          <w:tcPr>
            <w:tcW w:w="2616" w:type="dxa"/>
          </w:tcPr>
          <w:p w14:paraId="77A40258" w14:textId="77777777" w:rsidR="00F10BCA" w:rsidRDefault="00BD0B01">
            <w:r>
              <w:rPr>
                <w:b/>
              </w:rPr>
              <w:t>判定條件</w:t>
            </w:r>
          </w:p>
          <w:p w14:paraId="69FAD32A" w14:textId="77777777" w:rsidR="00F10BCA" w:rsidRDefault="00BD0B01">
            <w:r>
              <w:t>Conditions for determination</w:t>
            </w:r>
          </w:p>
        </w:tc>
        <w:tc>
          <w:tcPr>
            <w:tcW w:w="2616" w:type="dxa"/>
          </w:tcPr>
          <w:p w14:paraId="5683F35C" w14:textId="77777777" w:rsidR="00F10BCA" w:rsidRDefault="00BD0B01">
            <w:r>
              <w:rPr>
                <w:b/>
              </w:rPr>
              <w:t xml:space="preserve">CRA </w:t>
            </w:r>
            <w:r>
              <w:rPr>
                <w:b/>
              </w:rPr>
              <w:t>通報處理</w:t>
            </w:r>
          </w:p>
          <w:p w14:paraId="1F1BE8FD" w14:textId="77777777" w:rsidR="00F10BCA" w:rsidRDefault="00BD0B01">
            <w:r>
              <w:t>CRA Report Processing</w:t>
            </w:r>
          </w:p>
        </w:tc>
      </w:tr>
      <w:tr w:rsidR="00F10BCA" w14:paraId="7CD0E7BD" w14:textId="77777777">
        <w:tc>
          <w:tcPr>
            <w:tcW w:w="2616" w:type="dxa"/>
          </w:tcPr>
          <w:p w14:paraId="2302EA57" w14:textId="77777777" w:rsidR="00F10BCA" w:rsidRDefault="00BD0B01">
            <w:r>
              <w:t>E0</w:t>
            </w:r>
          </w:p>
        </w:tc>
        <w:tc>
          <w:tcPr>
            <w:tcW w:w="2616" w:type="dxa"/>
          </w:tcPr>
          <w:p w14:paraId="41E4D376" w14:textId="77777777" w:rsidR="00F10BCA" w:rsidRDefault="00BD0B01">
            <w:r>
              <w:t xml:space="preserve">No Evidence </w:t>
            </w:r>
            <w:r>
              <w:t>未見利用跡象</w:t>
            </w:r>
          </w:p>
          <w:p w14:paraId="02913721" w14:textId="77777777" w:rsidR="00F10BCA" w:rsidRDefault="00BD0B01">
            <w:r>
              <w:t>No Evidence Unused</w:t>
            </w:r>
          </w:p>
        </w:tc>
        <w:tc>
          <w:tcPr>
            <w:tcW w:w="2616" w:type="dxa"/>
          </w:tcPr>
          <w:p w14:paraId="17FC97A0" w14:textId="77777777" w:rsidR="00F10BCA" w:rsidRDefault="00BD0B01">
            <w:r>
              <w:t>僅有弱點通報、掃描結果、內部測試或</w:t>
            </w:r>
            <w:r>
              <w:t xml:space="preserve"> researcher PoC</w:t>
            </w:r>
            <w:r>
              <w:t>，無實際攻擊證據</w:t>
            </w:r>
          </w:p>
          <w:p w14:paraId="5051962A" w14:textId="77777777" w:rsidR="00F10BCA" w:rsidRDefault="00BD0B01">
            <w:r>
              <w:lastRenderedPageBreak/>
              <w:t xml:space="preserve">Weaknesses, scan </w:t>
            </w:r>
            <w:r>
              <w:t>results, internal tests or researcher PoC, no evidence of actual attack.</w:t>
            </w:r>
          </w:p>
        </w:tc>
        <w:tc>
          <w:tcPr>
            <w:tcW w:w="2616" w:type="dxa"/>
          </w:tcPr>
          <w:p w14:paraId="64FAAD36" w14:textId="77777777" w:rsidR="00F10BCA" w:rsidRDefault="00BD0B01">
            <w:r>
              <w:lastRenderedPageBreak/>
              <w:t>不觸發</w:t>
            </w:r>
            <w:r>
              <w:t xml:space="preserve"> CRA</w:t>
            </w:r>
            <w:r>
              <w:t>；依一般弱點流程處理</w:t>
            </w:r>
          </w:p>
          <w:p w14:paraId="7FD3D64B" w14:textId="77777777" w:rsidR="00F10BCA" w:rsidRDefault="00BD0B01">
            <w:r>
              <w:t xml:space="preserve">Do not trigger CRA; process by common </w:t>
            </w:r>
            <w:r>
              <w:lastRenderedPageBreak/>
              <w:t>weakness process</w:t>
            </w:r>
          </w:p>
        </w:tc>
      </w:tr>
      <w:tr w:rsidR="00F10BCA" w14:paraId="55A7DDFB" w14:textId="77777777">
        <w:tc>
          <w:tcPr>
            <w:tcW w:w="2616" w:type="dxa"/>
          </w:tcPr>
          <w:p w14:paraId="75573E75" w14:textId="77777777" w:rsidR="00F10BCA" w:rsidRDefault="00BD0B01">
            <w:r>
              <w:lastRenderedPageBreak/>
              <w:t>E1</w:t>
            </w:r>
          </w:p>
        </w:tc>
        <w:tc>
          <w:tcPr>
            <w:tcW w:w="2616" w:type="dxa"/>
          </w:tcPr>
          <w:p w14:paraId="2F041800" w14:textId="77777777" w:rsidR="00F10BCA" w:rsidRDefault="00BD0B01">
            <w:r>
              <w:t xml:space="preserve">Public Exploit Available </w:t>
            </w:r>
            <w:r>
              <w:t>有公開</w:t>
            </w:r>
            <w:r>
              <w:t xml:space="preserve"> exploit / </w:t>
            </w:r>
            <w:r>
              <w:t>可武器化</w:t>
            </w:r>
          </w:p>
          <w:p w14:paraId="4B197777" w14:textId="77777777" w:rsidR="00F10BCA" w:rsidRDefault="00BD0B01">
            <w:r>
              <w:t>Public Expluit / weaponized</w:t>
            </w:r>
          </w:p>
        </w:tc>
        <w:tc>
          <w:tcPr>
            <w:tcW w:w="2616" w:type="dxa"/>
          </w:tcPr>
          <w:p w14:paraId="2B08E44D" w14:textId="77777777" w:rsidR="00F10BCA" w:rsidRDefault="00BD0B01">
            <w:r>
              <w:t>已有公開</w:t>
            </w:r>
            <w:r>
              <w:t xml:space="preserve"> PoC</w:t>
            </w:r>
            <w:r>
              <w:t>、</w:t>
            </w:r>
            <w:r>
              <w:t>exploit code</w:t>
            </w:r>
            <w:r>
              <w:t>、</w:t>
            </w:r>
            <w:r>
              <w:t xml:space="preserve">Metasploit </w:t>
            </w:r>
            <w:r>
              <w:t>模</w:t>
            </w:r>
            <w:r>
              <w:t>組、</w:t>
            </w:r>
            <w:r>
              <w:t xml:space="preserve">GitHub exploit </w:t>
            </w:r>
            <w:r>
              <w:t>或可武器化技術細節，但未見實際攻擊證據</w:t>
            </w:r>
          </w:p>
          <w:p w14:paraId="0F2B302C" w14:textId="77777777" w:rsidR="00F10BCA" w:rsidRDefault="00BD0B01">
            <w:r>
              <w:t>The PoC, expluit code, Metasploit module, GitHub extloit or weapon-chemical details have been made public, but no evidence of actual attack is available.</w:t>
            </w:r>
          </w:p>
        </w:tc>
        <w:tc>
          <w:tcPr>
            <w:tcW w:w="2616" w:type="dxa"/>
          </w:tcPr>
          <w:p w14:paraId="06E3C56E" w14:textId="77777777" w:rsidR="00F10BCA" w:rsidRDefault="00BD0B01">
            <w:r>
              <w:t>不直接觸發</w:t>
            </w:r>
            <w:r>
              <w:t xml:space="preserve"> CRA</w:t>
            </w:r>
            <w:r>
              <w:t>；提高</w:t>
            </w:r>
            <w:proofErr w:type="gramStart"/>
            <w:r>
              <w:t>優先級並評估</w:t>
            </w:r>
            <w:proofErr w:type="gramEnd"/>
            <w:r>
              <w:t>縮短修補時程</w:t>
            </w:r>
          </w:p>
          <w:p w14:paraId="6B19BE56" w14:textId="77777777" w:rsidR="00F10BCA" w:rsidRDefault="00BD0B01">
            <w:r>
              <w:t>Do not directly trigger the CRA; raise t</w:t>
            </w:r>
            <w:r>
              <w:t>he priority and evaluate the shorter patch</w:t>
            </w:r>
          </w:p>
        </w:tc>
      </w:tr>
      <w:tr w:rsidR="00F10BCA" w14:paraId="76D8C7E5" w14:textId="77777777">
        <w:tc>
          <w:tcPr>
            <w:tcW w:w="2616" w:type="dxa"/>
          </w:tcPr>
          <w:p w14:paraId="23FBC006" w14:textId="77777777" w:rsidR="00F10BCA" w:rsidRDefault="00BD0B01">
            <w:r>
              <w:t>E2</w:t>
            </w:r>
          </w:p>
        </w:tc>
        <w:tc>
          <w:tcPr>
            <w:tcW w:w="2616" w:type="dxa"/>
          </w:tcPr>
          <w:p w14:paraId="0C0277DB" w14:textId="77777777" w:rsidR="00F10BCA" w:rsidRDefault="00BD0B01">
            <w:r>
              <w:t xml:space="preserve">Suspected Exploitation </w:t>
            </w:r>
            <w:r>
              <w:t>疑似遭利用</w:t>
            </w:r>
          </w:p>
          <w:p w14:paraId="55BCBF95" w14:textId="77777777" w:rsidR="00F10BCA" w:rsidRDefault="00BD0B01">
            <w:r>
              <w:t>Suspected Exploitation</w:t>
            </w:r>
          </w:p>
        </w:tc>
        <w:tc>
          <w:tcPr>
            <w:tcW w:w="2616" w:type="dxa"/>
          </w:tcPr>
          <w:p w14:paraId="450EABB8" w14:textId="77777777" w:rsidR="00F10BCA" w:rsidRDefault="00BD0B01">
            <w:r>
              <w:t>存在攻擊嘗試、掃描、客戶異常、</w:t>
            </w:r>
            <w:r>
              <w:t>IOC</w:t>
            </w:r>
            <w:r>
              <w:t>、產品遙測或威脅情報，但尚未達可靠證據門檻</w:t>
            </w:r>
          </w:p>
          <w:p w14:paraId="5EDE7D98" w14:textId="77777777" w:rsidR="00F10BCA" w:rsidRDefault="00BD0B01">
            <w:r>
              <w:t>There are attack attempts, scans, client anomalies, IOC, product telemetry or threat information, but no reliable evi</w:t>
            </w:r>
            <w:r>
              <w:t>dence is yet available.</w:t>
            </w:r>
          </w:p>
        </w:tc>
        <w:tc>
          <w:tcPr>
            <w:tcW w:w="2616" w:type="dxa"/>
          </w:tcPr>
          <w:p w14:paraId="18852290" w14:textId="77777777" w:rsidR="00F10BCA" w:rsidRDefault="00BD0B01">
            <w:r>
              <w:t>啟動</w:t>
            </w:r>
            <w:r>
              <w:t xml:space="preserve"> CRA </w:t>
            </w:r>
            <w:r>
              <w:t>預判、補證與法</w:t>
            </w:r>
            <w:proofErr w:type="gramStart"/>
            <w:r>
              <w:t>遵</w:t>
            </w:r>
            <w:proofErr w:type="gramEnd"/>
            <w:r>
              <w:t>會商；不得未經查核即排除</w:t>
            </w:r>
          </w:p>
          <w:p w14:paraId="468BA8D5" w14:textId="77777777" w:rsidR="00F10BCA" w:rsidRDefault="00BD0B01">
            <w:r>
              <w:t>Activate CRA pre-trial, verification and legal compliance; not exclude without verification</w:t>
            </w:r>
          </w:p>
        </w:tc>
      </w:tr>
      <w:tr w:rsidR="00F10BCA" w14:paraId="2A00C5F3" w14:textId="77777777">
        <w:tc>
          <w:tcPr>
            <w:tcW w:w="2616" w:type="dxa"/>
          </w:tcPr>
          <w:p w14:paraId="75799832" w14:textId="77777777" w:rsidR="00F10BCA" w:rsidRDefault="00BD0B01">
            <w:r>
              <w:t>E3</w:t>
            </w:r>
          </w:p>
        </w:tc>
        <w:tc>
          <w:tcPr>
            <w:tcW w:w="2616" w:type="dxa"/>
          </w:tcPr>
          <w:p w14:paraId="54D0A7AE" w14:textId="77777777" w:rsidR="00F10BCA" w:rsidRDefault="00BD0B01">
            <w:r>
              <w:t xml:space="preserve">Confirmed Active Exploitation </w:t>
            </w:r>
            <w:r>
              <w:t>已遭主動利用</w:t>
            </w:r>
          </w:p>
          <w:p w14:paraId="63BD9F3E" w14:textId="77777777" w:rsidR="00F10BCA" w:rsidRDefault="00BD0B01">
            <w:r>
              <w:t>Explicitly used</w:t>
            </w:r>
          </w:p>
        </w:tc>
        <w:tc>
          <w:tcPr>
            <w:tcW w:w="2616" w:type="dxa"/>
          </w:tcPr>
          <w:p w14:paraId="7C92EFFA" w14:textId="77777777" w:rsidR="00F10BCA" w:rsidRDefault="00BD0B01">
            <w:r>
              <w:t>有可靠證據顯示惡意行為者已實際利用該弱點，或該弱點已被</w:t>
            </w:r>
            <w:r>
              <w:t xml:space="preserve"> CISA KEV</w:t>
            </w:r>
            <w:r>
              <w:t>、官方</w:t>
            </w:r>
            <w:r>
              <w:t xml:space="preserve"> </w:t>
            </w:r>
            <w:r>
              <w:t>CERT/CSIRT</w:t>
            </w:r>
            <w:r>
              <w:t>、上游供應商、外部研究員通報或可信</w:t>
            </w:r>
            <w:r>
              <w:t xml:space="preserve"> PSIRT </w:t>
            </w:r>
            <w:r>
              <w:t>公告</w:t>
            </w:r>
            <w:r>
              <w:lastRenderedPageBreak/>
              <w:t>為</w:t>
            </w:r>
            <w:r>
              <w:t xml:space="preserve"> exploited in the wild / exploitation detected / active exploitation</w:t>
            </w:r>
          </w:p>
          <w:p w14:paraId="2C0D3D96" w14:textId="77777777" w:rsidR="00F10BCA" w:rsidRDefault="00BD0B01">
            <w:r>
              <w:t xml:space="preserve">There is credible evidence that perpetrators of such acts have actually used that weakness, or that the weakness has been communicated or credible by </w:t>
            </w:r>
            <w:r>
              <w:t>CISA KEV, official CPT/CSIRT, upstream provider, external researcher, or PSIRT announcement as explicated in the wild/exploration developed/activated</w:t>
            </w:r>
          </w:p>
        </w:tc>
        <w:tc>
          <w:tcPr>
            <w:tcW w:w="2616" w:type="dxa"/>
          </w:tcPr>
          <w:p w14:paraId="13006F66" w14:textId="77777777" w:rsidR="00F10BCA" w:rsidRDefault="00BD0B01">
            <w:r>
              <w:lastRenderedPageBreak/>
              <w:t>啟動</w:t>
            </w:r>
            <w:r>
              <w:t xml:space="preserve"> CRA Article 14 </w:t>
            </w:r>
            <w:r>
              <w:t>強制通報判定與</w:t>
            </w:r>
            <w:r>
              <w:t xml:space="preserve"> 24/72 </w:t>
            </w:r>
            <w:r>
              <w:t>小時計時</w:t>
            </w:r>
          </w:p>
          <w:p w14:paraId="12BE4F9C" w14:textId="77777777" w:rsidR="00F10BCA" w:rsidRDefault="00BD0B01">
            <w:r>
              <w:t xml:space="preserve">Activate CRA Article 14 Force to report determination and </w:t>
            </w:r>
            <w:proofErr w:type="gramStart"/>
            <w:r>
              <w:t>24/72 hour</w:t>
            </w:r>
            <w:proofErr w:type="gramEnd"/>
            <w:r>
              <w:t xml:space="preserve"> </w:t>
            </w:r>
            <w:r>
              <w:t>time</w:t>
            </w:r>
          </w:p>
        </w:tc>
      </w:tr>
    </w:tbl>
    <w:p w14:paraId="7AB6D08B" w14:textId="77777777" w:rsidR="00F10BCA" w:rsidRDefault="00BD0B01">
      <w:pPr>
        <w:pStyle w:val="Body"/>
      </w:pPr>
      <w:r>
        <w:rPr>
          <w:sz w:val="21"/>
        </w:rPr>
        <w:t>可直接支持</w:t>
      </w:r>
      <w:r>
        <w:rPr>
          <w:sz w:val="21"/>
        </w:rPr>
        <w:t xml:space="preserve"> E3 </w:t>
      </w:r>
      <w:r>
        <w:rPr>
          <w:sz w:val="21"/>
        </w:rPr>
        <w:t>之可靠證據包含：</w:t>
      </w:r>
      <w:r>
        <w:rPr>
          <w:sz w:val="21"/>
        </w:rPr>
        <w:t xml:space="preserve">CISA KEV </w:t>
      </w:r>
      <w:r>
        <w:rPr>
          <w:sz w:val="21"/>
        </w:rPr>
        <w:t>收錄、上游或原廠</w:t>
      </w:r>
      <w:r>
        <w:rPr>
          <w:sz w:val="21"/>
        </w:rPr>
        <w:t xml:space="preserve"> PSIRT </w:t>
      </w:r>
      <w:r>
        <w:rPr>
          <w:sz w:val="21"/>
        </w:rPr>
        <w:t>公告、</w:t>
      </w:r>
      <w:r>
        <w:rPr>
          <w:sz w:val="21"/>
        </w:rPr>
        <w:t xml:space="preserve">CERT/CSIRT </w:t>
      </w:r>
      <w:r>
        <w:rPr>
          <w:sz w:val="21"/>
        </w:rPr>
        <w:t>官方通報、客戶或現場</w:t>
      </w:r>
      <w:proofErr w:type="gramStart"/>
      <w:r>
        <w:rPr>
          <w:sz w:val="21"/>
        </w:rPr>
        <w:t>鑑</w:t>
      </w:r>
      <w:proofErr w:type="gramEnd"/>
      <w:r>
        <w:rPr>
          <w:sz w:val="21"/>
        </w:rPr>
        <w:t>識證據、產品遙測、攻擊</w:t>
      </w:r>
      <w:r>
        <w:rPr>
          <w:sz w:val="21"/>
        </w:rPr>
        <w:t xml:space="preserve"> IOC</w:t>
      </w:r>
      <w:r>
        <w:rPr>
          <w:sz w:val="21"/>
        </w:rPr>
        <w:t>、</w:t>
      </w:r>
      <w:r>
        <w:rPr>
          <w:sz w:val="21"/>
        </w:rPr>
        <w:t xml:space="preserve">EDR/XDR </w:t>
      </w:r>
      <w:r>
        <w:rPr>
          <w:sz w:val="21"/>
        </w:rPr>
        <w:t>告警、封包、系統日誌、</w:t>
      </w:r>
      <w:r>
        <w:rPr>
          <w:sz w:val="21"/>
        </w:rPr>
        <w:t>webshell</w:t>
      </w:r>
      <w:r>
        <w:rPr>
          <w:sz w:val="21"/>
        </w:rPr>
        <w:t>、惡意</w:t>
      </w:r>
      <w:r>
        <w:rPr>
          <w:sz w:val="21"/>
        </w:rPr>
        <w:t xml:space="preserve"> payload</w:t>
      </w:r>
      <w:r>
        <w:rPr>
          <w:sz w:val="21"/>
        </w:rPr>
        <w:t>、異常帳號建立、命令執行紀錄，且須能合理對應至該弱點或其</w:t>
      </w:r>
      <w:r>
        <w:rPr>
          <w:sz w:val="21"/>
        </w:rPr>
        <w:t xml:space="preserve"> exploitation chain</w:t>
      </w:r>
      <w:r>
        <w:rPr>
          <w:sz w:val="21"/>
        </w:rPr>
        <w:t>。</w:t>
      </w:r>
    </w:p>
    <w:p w14:paraId="526B5975" w14:textId="77777777" w:rsidR="00F10BCA" w:rsidRDefault="00BD0B01">
      <w:pPr>
        <w:pStyle w:val="BodyEN"/>
      </w:pPr>
      <w:r>
        <w:rPr>
          <w:sz w:val="21"/>
        </w:rPr>
        <w:t>Reliable evidence that directly supports E3 contains: CISA KEV collection, upstre</w:t>
      </w:r>
      <w:r>
        <w:rPr>
          <w:sz w:val="21"/>
        </w:rPr>
        <w:t>am or original PSIRT bulletin, CERTT/CSIRT official bulletin, client or on-site knowledge evidence, product remotes, assault IOC, EDR/XDR alerts, seals, system journals, Webshells, malice payloads, unusual account creation, command execution logs, and must</w:t>
      </w:r>
      <w:r>
        <w:rPr>
          <w:sz w:val="21"/>
        </w:rPr>
        <w:t xml:space="preserve"> reasonably respond to that weakness or its implementation chain.</w:t>
      </w:r>
    </w:p>
    <w:p w14:paraId="7B53CC2B" w14:textId="77777777" w:rsidR="00F10BCA" w:rsidRDefault="00BD0B01">
      <w:pPr>
        <w:pStyle w:val="Body"/>
      </w:pPr>
      <w:r>
        <w:rPr>
          <w:sz w:val="21"/>
        </w:rPr>
        <w:t>下列訊號通常應先判定為</w:t>
      </w:r>
      <w:r>
        <w:rPr>
          <w:sz w:val="21"/>
        </w:rPr>
        <w:t xml:space="preserve"> E2</w:t>
      </w:r>
      <w:r>
        <w:rPr>
          <w:sz w:val="21"/>
        </w:rPr>
        <w:t>，經補證後方可升為</w:t>
      </w:r>
      <w:r>
        <w:rPr>
          <w:sz w:val="21"/>
        </w:rPr>
        <w:t xml:space="preserve"> E3</w:t>
      </w:r>
      <w:r>
        <w:rPr>
          <w:sz w:val="21"/>
        </w:rPr>
        <w:t>：大量掃描或攻擊嘗試但未確認成功利用、威脅情報僅稱</w:t>
      </w:r>
      <w:r>
        <w:rPr>
          <w:sz w:val="21"/>
        </w:rPr>
        <w:t xml:space="preserve"> likely exploited </w:t>
      </w:r>
      <w:r>
        <w:rPr>
          <w:sz w:val="21"/>
        </w:rPr>
        <w:t>且缺乏可驗證細節、客戶回報異常但尚無</w:t>
      </w:r>
      <w:r>
        <w:rPr>
          <w:sz w:val="21"/>
        </w:rPr>
        <w:t xml:space="preserve"> log </w:t>
      </w:r>
      <w:r>
        <w:rPr>
          <w:sz w:val="21"/>
        </w:rPr>
        <w:t>或</w:t>
      </w:r>
      <w:r>
        <w:rPr>
          <w:sz w:val="21"/>
        </w:rPr>
        <w:t xml:space="preserve"> forensic artifact</w:t>
      </w:r>
      <w:r>
        <w:rPr>
          <w:sz w:val="21"/>
        </w:rPr>
        <w:t>、公開</w:t>
      </w:r>
      <w:r>
        <w:rPr>
          <w:sz w:val="21"/>
        </w:rPr>
        <w:t xml:space="preserve"> PoC </w:t>
      </w:r>
      <w:r>
        <w:rPr>
          <w:sz w:val="21"/>
        </w:rPr>
        <w:t>出現後產品</w:t>
      </w:r>
      <w:r>
        <w:rPr>
          <w:sz w:val="21"/>
        </w:rPr>
        <w:t xml:space="preserve"> telemetry </w:t>
      </w:r>
      <w:r>
        <w:rPr>
          <w:sz w:val="21"/>
        </w:rPr>
        <w:t>顯示異常</w:t>
      </w:r>
      <w:r>
        <w:rPr>
          <w:sz w:val="21"/>
        </w:rPr>
        <w:t xml:space="preserve"> request pattern </w:t>
      </w:r>
      <w:r>
        <w:rPr>
          <w:sz w:val="21"/>
        </w:rPr>
        <w:t>增加、</w:t>
      </w:r>
      <w:r>
        <w:rPr>
          <w:sz w:val="21"/>
        </w:rPr>
        <w:t xml:space="preserve">honeypot </w:t>
      </w:r>
      <w:r>
        <w:rPr>
          <w:sz w:val="21"/>
        </w:rPr>
        <w:t>觀察到利用嘗試但尚未證明影響</w:t>
      </w:r>
      <w:r>
        <w:rPr>
          <w:sz w:val="21"/>
        </w:rPr>
        <w:t xml:space="preserve"> IEI </w:t>
      </w:r>
      <w:r>
        <w:rPr>
          <w:sz w:val="21"/>
        </w:rPr>
        <w:t>產品版</w:t>
      </w:r>
      <w:r>
        <w:rPr>
          <w:sz w:val="21"/>
        </w:rPr>
        <w:t>本。</w:t>
      </w:r>
    </w:p>
    <w:p w14:paraId="58CC98B0" w14:textId="77777777" w:rsidR="00F10BCA" w:rsidRDefault="00BD0B01">
      <w:pPr>
        <w:pStyle w:val="BodyEN"/>
      </w:pPr>
      <w:r>
        <w:rPr>
          <w:sz w:val="21"/>
        </w:rPr>
        <w:t>The following signals should normally be determined as E2 and certified as E3.: A large number of scans or attacks failed to confirm their successful use, threat intelligence was described only as likely exhausted and lacked verifiable details, client r</w:t>
      </w:r>
      <w:r>
        <w:rPr>
          <w:sz w:val="21"/>
        </w:rPr>
        <w:t>eturns of unusual but non-existent logs or forensitization, publicly available PoC products showed an unusual increase in the number of requetpatterns, and Honeypot observed the use of the experiment but did not prove to affect IEI versions.</w:t>
      </w:r>
    </w:p>
    <w:p w14:paraId="3C0A7693" w14:textId="77777777" w:rsidR="00F10BCA" w:rsidRDefault="00BD0B01">
      <w:pPr>
        <w:pStyle w:val="Body"/>
      </w:pPr>
      <w:r>
        <w:rPr>
          <w:sz w:val="21"/>
        </w:rPr>
        <w:t>凡判定為</w:t>
      </w:r>
      <w:r>
        <w:rPr>
          <w:sz w:val="21"/>
        </w:rPr>
        <w:t xml:space="preserve"> E3 </w:t>
      </w:r>
      <w:r>
        <w:rPr>
          <w:sz w:val="21"/>
        </w:rPr>
        <w:t>者，</w:t>
      </w:r>
      <w:r>
        <w:rPr>
          <w:sz w:val="21"/>
        </w:rPr>
        <w:t>PSIR</w:t>
      </w:r>
      <w:r>
        <w:rPr>
          <w:sz w:val="21"/>
        </w:rPr>
        <w:t xml:space="preserve">T </w:t>
      </w:r>
      <w:r>
        <w:rPr>
          <w:sz w:val="21"/>
        </w:rPr>
        <w:t>應於同日升級</w:t>
      </w:r>
      <w:r>
        <w:rPr>
          <w:sz w:val="21"/>
        </w:rPr>
        <w:t xml:space="preserve"> PCC</w:t>
      </w:r>
      <w:r>
        <w:rPr>
          <w:sz w:val="21"/>
        </w:rPr>
        <w:t>、法</w:t>
      </w:r>
      <w:proofErr w:type="gramStart"/>
      <w:r>
        <w:rPr>
          <w:sz w:val="21"/>
        </w:rPr>
        <w:t>遵</w:t>
      </w:r>
      <w:proofErr w:type="gramEnd"/>
      <w:r>
        <w:rPr>
          <w:sz w:val="21"/>
        </w:rPr>
        <w:t>/</w:t>
      </w:r>
      <w:r>
        <w:rPr>
          <w:sz w:val="21"/>
        </w:rPr>
        <w:t>法務、</w:t>
      </w:r>
      <w:r>
        <w:rPr>
          <w:sz w:val="21"/>
        </w:rPr>
        <w:t>PM</w:t>
      </w:r>
      <w:r>
        <w:rPr>
          <w:sz w:val="21"/>
        </w:rPr>
        <w:t>、</w:t>
      </w:r>
      <w:r>
        <w:rPr>
          <w:sz w:val="21"/>
        </w:rPr>
        <w:t xml:space="preserve">RD </w:t>
      </w:r>
      <w:r>
        <w:rPr>
          <w:sz w:val="21"/>
        </w:rPr>
        <w:t>與</w:t>
      </w:r>
      <w:r>
        <w:rPr>
          <w:sz w:val="21"/>
        </w:rPr>
        <w:t xml:space="preserve"> DQV/QA</w:t>
      </w:r>
      <w:r>
        <w:rPr>
          <w:sz w:val="21"/>
        </w:rPr>
        <w:t>，並啟動</w:t>
      </w:r>
      <w:r>
        <w:rPr>
          <w:sz w:val="21"/>
        </w:rPr>
        <w:t xml:space="preserve"> CRA Article 14 </w:t>
      </w:r>
      <w:r>
        <w:rPr>
          <w:sz w:val="21"/>
        </w:rPr>
        <w:t>強制通報判定。若判定為</w:t>
      </w:r>
      <w:r>
        <w:rPr>
          <w:sz w:val="21"/>
        </w:rPr>
        <w:t xml:space="preserve"> E2</w:t>
      </w:r>
      <w:r>
        <w:rPr>
          <w:sz w:val="21"/>
        </w:rPr>
        <w:t>，</w:t>
      </w:r>
      <w:r>
        <w:rPr>
          <w:sz w:val="21"/>
        </w:rPr>
        <w:t xml:space="preserve">PSIRT </w:t>
      </w:r>
      <w:r>
        <w:rPr>
          <w:sz w:val="21"/>
        </w:rPr>
        <w:t>應要求補充證據、啟動</w:t>
      </w:r>
      <w:r>
        <w:rPr>
          <w:sz w:val="21"/>
        </w:rPr>
        <w:t xml:space="preserve"> threat intelligence </w:t>
      </w:r>
      <w:r>
        <w:rPr>
          <w:sz w:val="21"/>
        </w:rPr>
        <w:t>查核，並視風險先行規劃</w:t>
      </w:r>
      <w:r>
        <w:rPr>
          <w:sz w:val="21"/>
        </w:rPr>
        <w:t xml:space="preserve"> workaround</w:t>
      </w:r>
      <w:r>
        <w:rPr>
          <w:sz w:val="21"/>
        </w:rPr>
        <w:t>、客戶通知與修補排程。</w:t>
      </w:r>
    </w:p>
    <w:p w14:paraId="7873A8AF" w14:textId="77777777" w:rsidR="00F10BCA" w:rsidRDefault="00BD0B01">
      <w:pPr>
        <w:pStyle w:val="BodyEN"/>
      </w:pPr>
      <w:r>
        <w:rPr>
          <w:sz w:val="21"/>
        </w:rPr>
        <w:t xml:space="preserve">PSIRT should be upgraded to PCC, Law Enforcement/Law, PM, RD and DQV/QA on the same day, and initiate the CRA Artile </w:t>
      </w:r>
      <w:r>
        <w:rPr>
          <w:sz w:val="21"/>
        </w:rPr>
        <w:t>14 mandatory notification of the decision. If found to be E2, PSIRT should require additional evidence, initiate a thread inspection and plan a horkaroon, client notification and repair program at risk.</w:t>
      </w:r>
    </w:p>
    <w:p w14:paraId="081B4620" w14:textId="77777777" w:rsidR="00F10BCA" w:rsidRDefault="00BD0B01">
      <w:pPr>
        <w:pStyle w:val="Body"/>
      </w:pPr>
      <w:r>
        <w:rPr>
          <w:sz w:val="21"/>
        </w:rPr>
        <w:lastRenderedPageBreak/>
        <w:t>詳細證據蒐集模板、</w:t>
      </w:r>
      <w:r>
        <w:rPr>
          <w:sz w:val="21"/>
        </w:rPr>
        <w:t xml:space="preserve">log/IOC </w:t>
      </w:r>
      <w:r>
        <w:rPr>
          <w:sz w:val="21"/>
        </w:rPr>
        <w:t>格式、附件命名、取證</w:t>
      </w:r>
      <w:proofErr w:type="gramStart"/>
      <w:r>
        <w:rPr>
          <w:sz w:val="21"/>
        </w:rPr>
        <w:t>保全與逐項</w:t>
      </w:r>
      <w:proofErr w:type="gramEnd"/>
      <w:r>
        <w:rPr>
          <w:sz w:val="21"/>
        </w:rPr>
        <w:t>查核表應由</w:t>
      </w:r>
      <w:r>
        <w:rPr>
          <w:sz w:val="21"/>
        </w:rPr>
        <w:t xml:space="preserve"> L3 </w:t>
      </w:r>
      <w:r>
        <w:rPr>
          <w:sz w:val="21"/>
        </w:rPr>
        <w:t>作業文件或</w:t>
      </w:r>
      <w:r>
        <w:rPr>
          <w:sz w:val="21"/>
        </w:rPr>
        <w:t xml:space="preserve"> Jira </w:t>
      </w:r>
      <w:r>
        <w:rPr>
          <w:sz w:val="21"/>
        </w:rPr>
        <w:t>範</w:t>
      </w:r>
      <w:r>
        <w:rPr>
          <w:sz w:val="21"/>
        </w:rPr>
        <w:t>本定義；本</w:t>
      </w:r>
      <w:r>
        <w:rPr>
          <w:sz w:val="21"/>
        </w:rPr>
        <w:t xml:space="preserve"> L2 </w:t>
      </w:r>
      <w:r>
        <w:rPr>
          <w:sz w:val="21"/>
        </w:rPr>
        <w:t>文件僅規範判定門檻、升級要求與必要留痕。</w:t>
      </w:r>
    </w:p>
    <w:p w14:paraId="195DF98B" w14:textId="77777777" w:rsidR="00F10BCA" w:rsidRDefault="00BD0B01">
      <w:pPr>
        <w:pStyle w:val="BodyEN"/>
      </w:pPr>
      <w:r>
        <w:rPr>
          <w:sz w:val="21"/>
        </w:rPr>
        <w:t>Detailed evidence collection templates, log/IOC format, attachment naming, forensic preservation and case-by-case verification forms should be defined by the L3 business document or the Jira template; this L2 document only det</w:t>
      </w:r>
      <w:r>
        <w:rPr>
          <w:sz w:val="21"/>
        </w:rPr>
        <w:t>ermines the doors, upgrade requirements and necessary marks.</w:t>
      </w:r>
    </w:p>
    <w:p w14:paraId="453AFAA6" w14:textId="77777777" w:rsidR="00F10BCA" w:rsidRDefault="00BD0B01">
      <w:pPr>
        <w:pStyle w:val="H2"/>
      </w:pPr>
      <w:r>
        <w:rPr>
          <w:sz w:val="21"/>
        </w:rPr>
        <w:t xml:space="preserve">7.5 </w:t>
      </w:r>
      <w:r>
        <w:rPr>
          <w:sz w:val="21"/>
        </w:rPr>
        <w:t>修補或緩解規劃</w:t>
      </w:r>
      <w:r>
        <w:rPr>
          <w:sz w:val="21"/>
        </w:rPr>
        <w:t xml:space="preserve"> Remediation and Mitigation Planning</w:t>
      </w:r>
    </w:p>
    <w:p w14:paraId="02AE9224" w14:textId="77777777" w:rsidR="00F10BCA" w:rsidRDefault="00BD0B01">
      <w:pPr>
        <w:pStyle w:val="H2EN"/>
      </w:pPr>
      <w:r>
        <w:rPr>
          <w:sz w:val="21"/>
        </w:rPr>
        <w:t>7.5 Remediation and Mitigation Planning</w:t>
      </w:r>
    </w:p>
    <w:p w14:paraId="7E292EC4" w14:textId="77777777" w:rsidR="00F10BCA" w:rsidRDefault="00BD0B01">
      <w:pPr>
        <w:pStyle w:val="af"/>
      </w:pPr>
      <w:r>
        <w:rPr>
          <w:sz w:val="21"/>
        </w:rPr>
        <w:t xml:space="preserve">RD </w:t>
      </w:r>
      <w:r>
        <w:rPr>
          <w:sz w:val="21"/>
        </w:rPr>
        <w:t>應提出修補、緩解、營運控制或風險接受建議，交由</w:t>
      </w:r>
      <w:r>
        <w:rPr>
          <w:sz w:val="21"/>
        </w:rPr>
        <w:t xml:space="preserve"> PSIRT </w:t>
      </w:r>
      <w:r>
        <w:rPr>
          <w:sz w:val="21"/>
        </w:rPr>
        <w:t>與相關利害關係人審查。</w:t>
      </w:r>
    </w:p>
    <w:p w14:paraId="0CF3FE2F" w14:textId="77777777" w:rsidR="00F10BCA" w:rsidRDefault="00BD0B01">
      <w:pPr>
        <w:pStyle w:val="BodyEN"/>
      </w:pPr>
      <w:r>
        <w:rPr>
          <w:sz w:val="21"/>
        </w:rPr>
        <w:t xml:space="preserve">RD should provide advice on repair, </w:t>
      </w:r>
      <w:r>
        <w:rPr>
          <w:sz w:val="21"/>
        </w:rPr>
        <w:t>decomposition, operation control or risk and be reviewed by PSIRT and relevant stakeholders.</w:t>
      </w:r>
    </w:p>
    <w:p w14:paraId="076B078D" w14:textId="77777777" w:rsidR="00F10BCA" w:rsidRDefault="00BD0B01">
      <w:pPr>
        <w:pStyle w:val="af"/>
      </w:pPr>
      <w:r>
        <w:rPr>
          <w:sz w:val="21"/>
        </w:rPr>
        <w:t>可接受之處置方式包含但不限於：</w:t>
      </w:r>
    </w:p>
    <w:p w14:paraId="300D61B9" w14:textId="77777777" w:rsidR="00F10BCA" w:rsidRDefault="00BD0B01">
      <w:pPr>
        <w:pStyle w:val="BodyEN"/>
      </w:pPr>
      <w:r>
        <w:rPr>
          <w:sz w:val="21"/>
        </w:rPr>
        <w:t xml:space="preserve">The acceptable disposition includes but is not limited to: </w:t>
      </w:r>
    </w:p>
    <w:p w14:paraId="0C6AC436" w14:textId="77777777" w:rsidR="00F10BCA" w:rsidRDefault="00BD0B01">
      <w:pPr>
        <w:pStyle w:val="af"/>
      </w:pPr>
      <w:r>
        <w:rPr>
          <w:sz w:val="21"/>
        </w:rPr>
        <w:t>正式</w:t>
      </w:r>
      <w:r>
        <w:rPr>
          <w:sz w:val="21"/>
        </w:rPr>
        <w:t xml:space="preserve"> security patch</w:t>
      </w:r>
      <w:r>
        <w:rPr>
          <w:sz w:val="21"/>
        </w:rPr>
        <w:t>、</w:t>
      </w:r>
      <w:r>
        <w:rPr>
          <w:sz w:val="21"/>
        </w:rPr>
        <w:t>BIOS/UEFI/firmware/driver/software update</w:t>
      </w:r>
    </w:p>
    <w:p w14:paraId="76F60276" w14:textId="77777777" w:rsidR="00F10BCA" w:rsidRDefault="00BD0B01">
      <w:pPr>
        <w:pStyle w:val="BodyEN"/>
      </w:pPr>
      <w:r>
        <w:rPr>
          <w:sz w:val="21"/>
        </w:rPr>
        <w:t>Official security watch, BI</w:t>
      </w:r>
      <w:r>
        <w:rPr>
          <w:sz w:val="21"/>
        </w:rPr>
        <w:t>OS/UEFI/firmware/driver/software update</w:t>
      </w:r>
    </w:p>
    <w:p w14:paraId="56C96792" w14:textId="77777777" w:rsidR="00F10BCA" w:rsidRDefault="00BD0B01">
      <w:pPr>
        <w:pStyle w:val="af"/>
      </w:pPr>
      <w:r>
        <w:rPr>
          <w:sz w:val="21"/>
        </w:rPr>
        <w:t>上游供應商</w:t>
      </w:r>
      <w:r>
        <w:rPr>
          <w:sz w:val="21"/>
        </w:rPr>
        <w:t xml:space="preserve"> patch </w:t>
      </w:r>
      <w:r>
        <w:rPr>
          <w:sz w:val="21"/>
        </w:rPr>
        <w:t>或</w:t>
      </w:r>
      <w:r>
        <w:rPr>
          <w:sz w:val="21"/>
        </w:rPr>
        <w:t xml:space="preserve"> microcode </w:t>
      </w:r>
      <w:r>
        <w:rPr>
          <w:sz w:val="21"/>
        </w:rPr>
        <w:t>整合</w:t>
      </w:r>
    </w:p>
    <w:p w14:paraId="07972BE0" w14:textId="77777777" w:rsidR="00F10BCA" w:rsidRDefault="00BD0B01">
      <w:pPr>
        <w:pStyle w:val="BodyEN"/>
      </w:pPr>
      <w:r>
        <w:rPr>
          <w:sz w:val="21"/>
        </w:rPr>
        <w:t xml:space="preserve">Upstream provider </w:t>
      </w:r>
      <w:proofErr w:type="gramStart"/>
      <w:r>
        <w:rPr>
          <w:sz w:val="21"/>
        </w:rPr>
        <w:t>watch</w:t>
      </w:r>
      <w:proofErr w:type="gramEnd"/>
      <w:r>
        <w:rPr>
          <w:sz w:val="21"/>
        </w:rPr>
        <w:t xml:space="preserve"> or microcode integration</w:t>
      </w:r>
    </w:p>
    <w:p w14:paraId="4D7AF010" w14:textId="77777777" w:rsidR="00F10BCA" w:rsidRDefault="00BD0B01">
      <w:pPr>
        <w:pStyle w:val="af"/>
      </w:pPr>
      <w:r>
        <w:rPr>
          <w:sz w:val="21"/>
        </w:rPr>
        <w:t>組態調整、功能停用、</w:t>
      </w:r>
      <w:r>
        <w:rPr>
          <w:sz w:val="21"/>
        </w:rPr>
        <w:t>ACL</w:t>
      </w:r>
      <w:r>
        <w:rPr>
          <w:sz w:val="21"/>
        </w:rPr>
        <w:t>、防火牆規則、</w:t>
      </w:r>
      <w:proofErr w:type="gramStart"/>
      <w:r>
        <w:rPr>
          <w:sz w:val="21"/>
        </w:rPr>
        <w:t>網段隔離等緩</w:t>
      </w:r>
      <w:proofErr w:type="gramEnd"/>
      <w:r>
        <w:rPr>
          <w:sz w:val="21"/>
        </w:rPr>
        <w:t>解措施</w:t>
      </w:r>
    </w:p>
    <w:p w14:paraId="00587ECB" w14:textId="77777777" w:rsidR="00F10BCA" w:rsidRDefault="00BD0B01">
      <w:pPr>
        <w:pStyle w:val="BodyEN"/>
      </w:pPr>
      <w:r>
        <w:rPr>
          <w:sz w:val="21"/>
        </w:rPr>
        <w:t>Moderation, disablement, ACL, firewall rules, mesh quarantine, etc.</w:t>
      </w:r>
    </w:p>
    <w:p w14:paraId="5E04D137" w14:textId="77777777" w:rsidR="00F10BCA" w:rsidRDefault="00BD0B01">
      <w:pPr>
        <w:pStyle w:val="af"/>
      </w:pPr>
      <w:r>
        <w:rPr>
          <w:sz w:val="21"/>
        </w:rPr>
        <w:t>對</w:t>
      </w:r>
      <w:r>
        <w:rPr>
          <w:sz w:val="21"/>
        </w:rPr>
        <w:t xml:space="preserve"> EOS/EOL </w:t>
      </w:r>
      <w:r>
        <w:rPr>
          <w:sz w:val="21"/>
        </w:rPr>
        <w:t>或高風險高成本情況提供</w:t>
      </w:r>
      <w:r>
        <w:rPr>
          <w:sz w:val="21"/>
        </w:rPr>
        <w:t xml:space="preserve"> best effort </w:t>
      </w:r>
      <w:r>
        <w:rPr>
          <w:sz w:val="21"/>
        </w:rPr>
        <w:t>指引</w:t>
      </w:r>
    </w:p>
    <w:p w14:paraId="79DB0FE8" w14:textId="77777777" w:rsidR="00F10BCA" w:rsidRDefault="00BD0B01">
      <w:pPr>
        <w:pStyle w:val="BodyEN"/>
      </w:pPr>
      <w:r>
        <w:rPr>
          <w:sz w:val="21"/>
        </w:rPr>
        <w:t>Best effort guidance for EOS/EOL or high-risk high-cost situations</w:t>
      </w:r>
    </w:p>
    <w:p w14:paraId="63FE3934" w14:textId="77777777" w:rsidR="00F10BCA" w:rsidRDefault="00BD0B01">
      <w:pPr>
        <w:pStyle w:val="af"/>
      </w:pPr>
      <w:r>
        <w:rPr>
          <w:sz w:val="21"/>
        </w:rPr>
        <w:t>規劃時應同時確認：</w:t>
      </w:r>
    </w:p>
    <w:p w14:paraId="2AE57EE5" w14:textId="77777777" w:rsidR="00F10BCA" w:rsidRDefault="00BD0B01">
      <w:pPr>
        <w:pStyle w:val="BodyEN"/>
      </w:pPr>
      <w:r>
        <w:rPr>
          <w:sz w:val="21"/>
        </w:rPr>
        <w:t xml:space="preserve">The plan should be confirmed as well.: </w:t>
      </w:r>
    </w:p>
    <w:p w14:paraId="4141EC76" w14:textId="77777777" w:rsidR="00F10BCA" w:rsidRDefault="00BD0B01">
      <w:pPr>
        <w:pStyle w:val="af"/>
      </w:pPr>
      <w:r>
        <w:rPr>
          <w:sz w:val="21"/>
        </w:rPr>
        <w:t>修補目標時程</w:t>
      </w:r>
    </w:p>
    <w:p w14:paraId="19193978" w14:textId="77777777" w:rsidR="00F10BCA" w:rsidRDefault="00BD0B01">
      <w:pPr>
        <w:pStyle w:val="BodyEN"/>
      </w:pPr>
      <w:r>
        <w:rPr>
          <w:sz w:val="21"/>
        </w:rPr>
        <w:t>Fix Target Time</w:t>
      </w:r>
    </w:p>
    <w:p w14:paraId="77BE78D2" w14:textId="77777777" w:rsidR="00F10BCA" w:rsidRDefault="00BD0B01">
      <w:pPr>
        <w:pStyle w:val="af"/>
      </w:pPr>
      <w:r>
        <w:rPr>
          <w:sz w:val="21"/>
        </w:rPr>
        <w:t>驗證範圍與發布條件</w:t>
      </w:r>
    </w:p>
    <w:p w14:paraId="612E1463" w14:textId="77777777" w:rsidR="00F10BCA" w:rsidRDefault="00BD0B01">
      <w:pPr>
        <w:pStyle w:val="BodyEN"/>
      </w:pPr>
      <w:r>
        <w:rPr>
          <w:sz w:val="21"/>
        </w:rPr>
        <w:t>Verify Scope and Issue Conditions</w:t>
      </w:r>
    </w:p>
    <w:p w14:paraId="3FD0FCCC" w14:textId="77777777" w:rsidR="00F10BCA" w:rsidRDefault="00BD0B01">
      <w:pPr>
        <w:pStyle w:val="af"/>
      </w:pPr>
      <w:r>
        <w:rPr>
          <w:sz w:val="21"/>
        </w:rPr>
        <w:t>客戶通知策略</w:t>
      </w:r>
    </w:p>
    <w:p w14:paraId="4F7EE7FD" w14:textId="77777777" w:rsidR="00F10BCA" w:rsidRDefault="00BD0B01">
      <w:pPr>
        <w:pStyle w:val="BodyEN"/>
      </w:pPr>
      <w:r>
        <w:rPr>
          <w:sz w:val="21"/>
        </w:rPr>
        <w:t>Client notification strategy</w:t>
      </w:r>
    </w:p>
    <w:p w14:paraId="5296B27F" w14:textId="77777777" w:rsidR="00F10BCA" w:rsidRDefault="00BD0B01">
      <w:pPr>
        <w:pStyle w:val="af"/>
      </w:pPr>
      <w:r>
        <w:rPr>
          <w:sz w:val="21"/>
        </w:rPr>
        <w:t xml:space="preserve">OEM/ODM </w:t>
      </w:r>
      <w:r>
        <w:rPr>
          <w:sz w:val="21"/>
        </w:rPr>
        <w:t>是否需預先通知或</w:t>
      </w:r>
      <w:proofErr w:type="gramStart"/>
      <w:r>
        <w:rPr>
          <w:sz w:val="21"/>
        </w:rPr>
        <w:t>採</w:t>
      </w:r>
      <w:proofErr w:type="gramEnd"/>
      <w:r>
        <w:rPr>
          <w:sz w:val="21"/>
        </w:rPr>
        <w:t>聯合公告</w:t>
      </w:r>
    </w:p>
    <w:p w14:paraId="7A4A86F4" w14:textId="77777777" w:rsidR="00F10BCA" w:rsidRDefault="00BD0B01">
      <w:pPr>
        <w:pStyle w:val="BodyEN"/>
      </w:pPr>
      <w:r>
        <w:rPr>
          <w:sz w:val="21"/>
        </w:rPr>
        <w:t xml:space="preserve">OEM/ODM Prior </w:t>
      </w:r>
      <w:r>
        <w:rPr>
          <w:sz w:val="21"/>
        </w:rPr>
        <w:t>notification or joint announcement</w:t>
      </w:r>
    </w:p>
    <w:p w14:paraId="18283029" w14:textId="77777777" w:rsidR="00F10BCA" w:rsidRDefault="00BD0B01">
      <w:pPr>
        <w:pStyle w:val="af"/>
      </w:pPr>
      <w:r>
        <w:rPr>
          <w:sz w:val="21"/>
        </w:rPr>
        <w:t>是否需要</w:t>
      </w:r>
      <w:r>
        <w:rPr>
          <w:sz w:val="21"/>
        </w:rPr>
        <w:t xml:space="preserve"> CVE </w:t>
      </w:r>
      <w:r>
        <w:rPr>
          <w:sz w:val="21"/>
        </w:rPr>
        <w:t>申請、</w:t>
      </w:r>
      <w:r>
        <w:rPr>
          <w:sz w:val="21"/>
        </w:rPr>
        <w:t xml:space="preserve">CNA </w:t>
      </w:r>
      <w:r>
        <w:rPr>
          <w:sz w:val="21"/>
        </w:rPr>
        <w:t>協調或主管機關通報</w:t>
      </w:r>
    </w:p>
    <w:p w14:paraId="58CC4F90" w14:textId="77777777" w:rsidR="00F10BCA" w:rsidRDefault="00BD0B01">
      <w:pPr>
        <w:pStyle w:val="BodyEN"/>
      </w:pPr>
      <w:r>
        <w:rPr>
          <w:sz w:val="21"/>
        </w:rPr>
        <w:t>Do you need a CVE application, CNA coordination, or a competent authority report?</w:t>
      </w:r>
    </w:p>
    <w:p w14:paraId="311529C5" w14:textId="77777777" w:rsidR="00F10BCA" w:rsidRDefault="00BD0B01">
      <w:pPr>
        <w:pStyle w:val="af"/>
      </w:pPr>
      <w:r>
        <w:rPr>
          <w:sz w:val="21"/>
        </w:rPr>
        <w:t xml:space="preserve">PM </w:t>
      </w:r>
      <w:r>
        <w:rPr>
          <w:sz w:val="21"/>
        </w:rPr>
        <w:t>應就修補規劃提供</w:t>
      </w:r>
      <w:r>
        <w:rPr>
          <w:sz w:val="21"/>
        </w:rPr>
        <w:t xml:space="preserve"> release feasibility</w:t>
      </w:r>
      <w:r>
        <w:rPr>
          <w:sz w:val="21"/>
        </w:rPr>
        <w:t>、版本分支、客戶可套用性、</w:t>
      </w:r>
      <w:r>
        <w:rPr>
          <w:sz w:val="21"/>
        </w:rPr>
        <w:t>EOL/EOS strategy</w:t>
      </w:r>
      <w:r>
        <w:rPr>
          <w:sz w:val="21"/>
        </w:rPr>
        <w:t>、</w:t>
      </w:r>
      <w:r>
        <w:rPr>
          <w:sz w:val="21"/>
        </w:rPr>
        <w:t>ODM/OEM coordination</w:t>
      </w:r>
      <w:r>
        <w:rPr>
          <w:sz w:val="21"/>
        </w:rPr>
        <w:t>、客戶預通知需求與商業</w:t>
      </w:r>
      <w:r>
        <w:rPr>
          <w:sz w:val="21"/>
        </w:rPr>
        <w:t>/</w:t>
      </w:r>
      <w:r>
        <w:rPr>
          <w:sz w:val="21"/>
        </w:rPr>
        <w:t>合約影響輸入；若</w:t>
      </w:r>
      <w:r>
        <w:rPr>
          <w:sz w:val="21"/>
        </w:rPr>
        <w:t xml:space="preserve"> PM </w:t>
      </w:r>
      <w:r>
        <w:rPr>
          <w:sz w:val="21"/>
        </w:rPr>
        <w:t>輸入與安全風險處</w:t>
      </w:r>
      <w:r>
        <w:rPr>
          <w:sz w:val="21"/>
        </w:rPr>
        <w:t>置存在衝突，應升級</w:t>
      </w:r>
      <w:r>
        <w:rPr>
          <w:sz w:val="21"/>
        </w:rPr>
        <w:t xml:space="preserve"> PCC </w:t>
      </w:r>
      <w:r>
        <w:rPr>
          <w:sz w:val="21"/>
        </w:rPr>
        <w:t>或依正式風險接受程序處理。</w:t>
      </w:r>
    </w:p>
    <w:p w14:paraId="13F037F8" w14:textId="77777777" w:rsidR="00F10BCA" w:rsidRDefault="00BD0B01">
      <w:pPr>
        <w:pStyle w:val="BodyEN"/>
      </w:pPr>
      <w:r>
        <w:rPr>
          <w:sz w:val="21"/>
        </w:rPr>
        <w:t>PM should provide a plan for repairing the damage, provide access, version branch, customer interoperability, EOL/EOS model, ODM/OEM coordination, client pre-notification of needs and business/contract impacts; upgrade the PCC o</w:t>
      </w:r>
      <w:r>
        <w:rPr>
          <w:sz w:val="21"/>
        </w:rPr>
        <w:t>r accept a formal risk-based procedure if there is a conflict between PM input and security risks.</w:t>
      </w:r>
    </w:p>
    <w:p w14:paraId="019FF0ED" w14:textId="77777777" w:rsidR="00F10BCA" w:rsidRDefault="00BD0B01">
      <w:pPr>
        <w:pStyle w:val="af"/>
      </w:pPr>
      <w:r>
        <w:rPr>
          <w:sz w:val="21"/>
        </w:rPr>
        <w:lastRenderedPageBreak/>
        <w:t xml:space="preserve">IEI PSIRT </w:t>
      </w:r>
      <w:r>
        <w:rPr>
          <w:sz w:val="21"/>
        </w:rPr>
        <w:t>應建立</w:t>
      </w:r>
      <w:r>
        <w:rPr>
          <w:sz w:val="21"/>
        </w:rPr>
        <w:t xml:space="preserve"> CVE </w:t>
      </w:r>
      <w:r>
        <w:rPr>
          <w:sz w:val="21"/>
        </w:rPr>
        <w:t>管理能力，並以</w:t>
      </w:r>
      <w:r>
        <w:rPr>
          <w:sz w:val="21"/>
        </w:rPr>
        <w:t xml:space="preserve"> 2026 </w:t>
      </w:r>
      <w:r>
        <w:rPr>
          <w:sz w:val="21"/>
        </w:rPr>
        <w:t>年第</w:t>
      </w:r>
      <w:r>
        <w:rPr>
          <w:sz w:val="21"/>
        </w:rPr>
        <w:t xml:space="preserve"> 3 </w:t>
      </w:r>
      <w:r>
        <w:rPr>
          <w:sz w:val="21"/>
        </w:rPr>
        <w:t>季取得</w:t>
      </w:r>
      <w:r>
        <w:rPr>
          <w:sz w:val="21"/>
        </w:rPr>
        <w:t xml:space="preserve"> CNA </w:t>
      </w:r>
      <w:r>
        <w:rPr>
          <w:sz w:val="21"/>
        </w:rPr>
        <w:t>能力</w:t>
      </w:r>
      <w:r>
        <w:rPr>
          <w:sz w:val="21"/>
        </w:rPr>
        <w:t xml:space="preserve"> </w:t>
      </w:r>
      <w:r>
        <w:rPr>
          <w:sz w:val="21"/>
        </w:rPr>
        <w:t>為規劃目標；在正式取得</w:t>
      </w:r>
      <w:r>
        <w:rPr>
          <w:sz w:val="21"/>
        </w:rPr>
        <w:t xml:space="preserve"> CNA </w:t>
      </w:r>
      <w:r>
        <w:rPr>
          <w:sz w:val="21"/>
        </w:rPr>
        <w:t>資格前，</w:t>
      </w:r>
      <w:r>
        <w:rPr>
          <w:sz w:val="21"/>
        </w:rPr>
        <w:t xml:space="preserve">`IEI PSIRT` </w:t>
      </w:r>
      <w:r>
        <w:rPr>
          <w:sz w:val="21"/>
        </w:rPr>
        <w:t>為對外</w:t>
      </w:r>
      <w:r>
        <w:rPr>
          <w:sz w:val="21"/>
        </w:rPr>
        <w:t xml:space="preserve"> CVE </w:t>
      </w:r>
      <w:r>
        <w:rPr>
          <w:sz w:val="21"/>
        </w:rPr>
        <w:t>申請、追蹤與協調責任人。</w:t>
      </w:r>
    </w:p>
    <w:p w14:paraId="6FEA60AD" w14:textId="77777777" w:rsidR="00F10BCA" w:rsidRDefault="00BD0B01">
      <w:pPr>
        <w:pStyle w:val="BodyEN"/>
      </w:pPr>
      <w:r>
        <w:rPr>
          <w:sz w:val="21"/>
        </w:rPr>
        <w:t xml:space="preserve">IEI PSIRT should build CVE management capacity, with the </w:t>
      </w:r>
      <w:r>
        <w:rPr>
          <w:sz w:val="21"/>
        </w:rPr>
        <w:t>aim of acquiring CNA capacity in the third quarter of 2026; `IEI PSIRT ' was the external CVE applicant, tracker and coordinator until the official CNA qualification was obtained.</w:t>
      </w:r>
    </w:p>
    <w:p w14:paraId="0D8BCFFA" w14:textId="77777777" w:rsidR="00F10BCA" w:rsidRDefault="00BD0B01">
      <w:pPr>
        <w:pStyle w:val="H2"/>
      </w:pPr>
      <w:r>
        <w:rPr>
          <w:sz w:val="21"/>
        </w:rPr>
        <w:t xml:space="preserve">7.6 </w:t>
      </w:r>
      <w:r>
        <w:rPr>
          <w:sz w:val="21"/>
        </w:rPr>
        <w:t>修補時程基準</w:t>
      </w:r>
      <w:r>
        <w:rPr>
          <w:sz w:val="21"/>
        </w:rPr>
        <w:t xml:space="preserve"> Remediation Timing Baseline</w:t>
      </w:r>
    </w:p>
    <w:p w14:paraId="47B663E4" w14:textId="77777777" w:rsidR="00F10BCA" w:rsidRDefault="00BD0B01">
      <w:pPr>
        <w:pStyle w:val="H2EN"/>
      </w:pPr>
      <w:r>
        <w:rPr>
          <w:sz w:val="21"/>
        </w:rPr>
        <w:t>7.6 Remediation Timing Baseline</w:t>
      </w:r>
    </w:p>
    <w:p w14:paraId="3B22F2E7" w14:textId="77777777" w:rsidR="00F10BCA" w:rsidRDefault="00BD0B01">
      <w:pPr>
        <w:pStyle w:val="Body"/>
      </w:pPr>
      <w:r>
        <w:rPr>
          <w:sz w:val="21"/>
        </w:rPr>
        <w:t>依</w:t>
      </w:r>
      <w:r>
        <w:rPr>
          <w:sz w:val="21"/>
        </w:rPr>
        <w:t xml:space="preserve"> IEI</w:t>
      </w:r>
      <w:r>
        <w:rPr>
          <w:sz w:val="21"/>
        </w:rPr>
        <w:t xml:space="preserve"> </w:t>
      </w:r>
      <w:r>
        <w:rPr>
          <w:sz w:val="21"/>
        </w:rPr>
        <w:t>現行公開政策，修補規劃之對外預估基準如下：</w:t>
      </w:r>
    </w:p>
    <w:p w14:paraId="46CD4FED" w14:textId="77777777" w:rsidR="00F10BCA" w:rsidRDefault="00BD0B01">
      <w:pPr>
        <w:pStyle w:val="BodyEN"/>
      </w:pPr>
      <w:r>
        <w:rPr>
          <w:sz w:val="21"/>
        </w:rPr>
        <w:t xml:space="preserve">Based on IEI's current public policy, the basis for the external estimate is as </w:t>
      </w:r>
      <w:proofErr w:type="gramStart"/>
      <w:r>
        <w:rPr>
          <w:sz w:val="21"/>
        </w:rPr>
        <w:t>follows::</w:t>
      </w:r>
      <w:proofErr w:type="gramEnd"/>
      <w:r>
        <w:rPr>
          <w:sz w:val="21"/>
        </w:rPr>
        <w:t xml:space="preserve"> </w:t>
      </w:r>
    </w:p>
    <w:p w14:paraId="4D7FFFED" w14:textId="77777777" w:rsidR="00F10BCA" w:rsidRDefault="00BD0B01">
      <w:pPr>
        <w:pStyle w:val="af"/>
      </w:pPr>
      <w:r>
        <w:rPr>
          <w:sz w:val="21"/>
        </w:rPr>
        <w:t>Critical`</w:t>
      </w:r>
      <w:r>
        <w:rPr>
          <w:sz w:val="21"/>
        </w:rPr>
        <w:t>：</w:t>
      </w:r>
      <w:r>
        <w:rPr>
          <w:sz w:val="21"/>
        </w:rPr>
        <w:t xml:space="preserve">30 </w:t>
      </w:r>
      <w:r>
        <w:rPr>
          <w:sz w:val="21"/>
        </w:rPr>
        <w:t>至</w:t>
      </w:r>
      <w:r>
        <w:rPr>
          <w:sz w:val="21"/>
        </w:rPr>
        <w:t xml:space="preserve"> 90 </w:t>
      </w:r>
      <w:r>
        <w:rPr>
          <w:sz w:val="21"/>
        </w:rPr>
        <w:t>天內完成修補或</w:t>
      </w:r>
      <w:proofErr w:type="gramStart"/>
      <w:r>
        <w:rPr>
          <w:sz w:val="21"/>
        </w:rPr>
        <w:t>有效緩</w:t>
      </w:r>
      <w:proofErr w:type="gramEnd"/>
      <w:r>
        <w:rPr>
          <w:sz w:val="21"/>
        </w:rPr>
        <w:t>解方案。</w:t>
      </w:r>
    </w:p>
    <w:p w14:paraId="428A1637" w14:textId="77777777" w:rsidR="00F10BCA" w:rsidRDefault="00BD0B01">
      <w:pPr>
        <w:pStyle w:val="BodyEN"/>
      </w:pPr>
      <w:r>
        <w:rPr>
          <w:sz w:val="21"/>
        </w:rPr>
        <w:t>Critical: Between 30 and 90 days to complete a repair or effective respite programme.</w:t>
      </w:r>
    </w:p>
    <w:p w14:paraId="46832421" w14:textId="77777777" w:rsidR="00F10BCA" w:rsidRDefault="00BD0B01">
      <w:pPr>
        <w:pStyle w:val="af"/>
      </w:pPr>
      <w:r>
        <w:rPr>
          <w:sz w:val="21"/>
        </w:rPr>
        <w:t xml:space="preserve">High / </w:t>
      </w:r>
      <w:r>
        <w:rPr>
          <w:sz w:val="21"/>
        </w:rPr>
        <w:t>Medium`</w:t>
      </w:r>
      <w:r>
        <w:rPr>
          <w:sz w:val="21"/>
        </w:rPr>
        <w:t>：</w:t>
      </w:r>
      <w:r>
        <w:rPr>
          <w:sz w:val="21"/>
        </w:rPr>
        <w:t xml:space="preserve">3 </w:t>
      </w:r>
      <w:r>
        <w:rPr>
          <w:sz w:val="21"/>
        </w:rPr>
        <w:t>至</w:t>
      </w:r>
      <w:r>
        <w:rPr>
          <w:sz w:val="21"/>
        </w:rPr>
        <w:t xml:space="preserve"> 6 </w:t>
      </w:r>
      <w:proofErr w:type="gramStart"/>
      <w:r>
        <w:rPr>
          <w:sz w:val="21"/>
        </w:rPr>
        <w:t>個</w:t>
      </w:r>
      <w:proofErr w:type="gramEnd"/>
      <w:r>
        <w:rPr>
          <w:sz w:val="21"/>
        </w:rPr>
        <w:t>月或併入下一重大版本。</w:t>
      </w:r>
    </w:p>
    <w:p w14:paraId="300DF243" w14:textId="77777777" w:rsidR="00F10BCA" w:rsidRDefault="00BD0B01">
      <w:pPr>
        <w:pStyle w:val="BodyEN"/>
      </w:pPr>
      <w:r>
        <w:rPr>
          <w:sz w:val="21"/>
        </w:rPr>
        <w:t>High / Medium: 3 to 6 months or merge into the next major version.</w:t>
      </w:r>
    </w:p>
    <w:p w14:paraId="2213B9E0" w14:textId="77777777" w:rsidR="00F10BCA" w:rsidRDefault="00BD0B01">
      <w:pPr>
        <w:pStyle w:val="af"/>
      </w:pPr>
      <w:r>
        <w:rPr>
          <w:sz w:val="21"/>
        </w:rPr>
        <w:t>Low`</w:t>
      </w:r>
      <w:r>
        <w:rPr>
          <w:sz w:val="21"/>
        </w:rPr>
        <w:t>：依產品生命週期與維護計畫排程，可併入例行維護。</w:t>
      </w:r>
    </w:p>
    <w:p w14:paraId="69CE8F6E" w14:textId="77777777" w:rsidR="00F10BCA" w:rsidRDefault="00BD0B01">
      <w:pPr>
        <w:pStyle w:val="BodyEN"/>
      </w:pPr>
      <w:r>
        <w:rPr>
          <w:sz w:val="21"/>
        </w:rPr>
        <w:t>Low: It is possible to integrate routine maintenance with product life cycles and maintenance programs.</w:t>
      </w:r>
    </w:p>
    <w:p w14:paraId="34614C9F" w14:textId="77777777" w:rsidR="00F10BCA" w:rsidRDefault="00BD0B01">
      <w:pPr>
        <w:pStyle w:val="Body"/>
      </w:pPr>
      <w:r>
        <w:rPr>
          <w:sz w:val="21"/>
        </w:rPr>
        <w:t>若案件涉及已遭利用、重大客戶風險、法規義務或大量已部署產品</w:t>
      </w:r>
      <w:r>
        <w:rPr>
          <w:sz w:val="21"/>
        </w:rPr>
        <w:t>，</w:t>
      </w:r>
      <w:r>
        <w:rPr>
          <w:sz w:val="21"/>
        </w:rPr>
        <w:t xml:space="preserve">PCC </w:t>
      </w:r>
      <w:r>
        <w:rPr>
          <w:sz w:val="21"/>
        </w:rPr>
        <w:t>得要求縮短時程，並以</w:t>
      </w:r>
      <w:r>
        <w:rPr>
          <w:sz w:val="21"/>
        </w:rPr>
        <w:t xml:space="preserve"> workaround </w:t>
      </w:r>
      <w:r>
        <w:rPr>
          <w:sz w:val="21"/>
        </w:rPr>
        <w:t>先行。</w:t>
      </w:r>
    </w:p>
    <w:p w14:paraId="13C54B8D" w14:textId="77777777" w:rsidR="00F10BCA" w:rsidRDefault="00BD0B01">
      <w:pPr>
        <w:pStyle w:val="BodyEN"/>
      </w:pPr>
      <w:r>
        <w:rPr>
          <w:sz w:val="21"/>
        </w:rPr>
        <w:t>If the case involves used, significant client risk, legal obligations or a large number of deployed products, the PCC will have to request a shorter time and go ahead with workload.</w:t>
      </w:r>
    </w:p>
    <w:p w14:paraId="12F02742" w14:textId="77777777" w:rsidR="00F10BCA" w:rsidRDefault="00BD0B01">
      <w:pPr>
        <w:pStyle w:val="H2"/>
      </w:pPr>
      <w:r>
        <w:rPr>
          <w:sz w:val="21"/>
        </w:rPr>
        <w:t xml:space="preserve">7.7 </w:t>
      </w:r>
      <w:r>
        <w:rPr>
          <w:sz w:val="21"/>
        </w:rPr>
        <w:t>驗證、發布與交付</w:t>
      </w:r>
      <w:r>
        <w:rPr>
          <w:sz w:val="21"/>
        </w:rPr>
        <w:t xml:space="preserve"> Validation, Release and Delive</w:t>
      </w:r>
      <w:r>
        <w:rPr>
          <w:sz w:val="21"/>
        </w:rPr>
        <w:t>ry</w:t>
      </w:r>
    </w:p>
    <w:p w14:paraId="221EC9F3" w14:textId="77777777" w:rsidR="00F10BCA" w:rsidRDefault="00BD0B01">
      <w:pPr>
        <w:pStyle w:val="H2EN"/>
      </w:pPr>
      <w:r>
        <w:rPr>
          <w:sz w:val="21"/>
        </w:rPr>
        <w:t>7.7 Validation, Release and Delivery</w:t>
      </w:r>
    </w:p>
    <w:p w14:paraId="123620E2" w14:textId="77777777" w:rsidR="00F10BCA" w:rsidRDefault="00BD0B01">
      <w:pPr>
        <w:pStyle w:val="af"/>
      </w:pPr>
      <w:r>
        <w:rPr>
          <w:sz w:val="21"/>
        </w:rPr>
        <w:t>所有修補或緩解措施在對外發布前，應經</w:t>
      </w:r>
      <w:r>
        <w:rPr>
          <w:sz w:val="21"/>
        </w:rPr>
        <w:t xml:space="preserve"> DQV/QA/QT </w:t>
      </w:r>
      <w:r>
        <w:rPr>
          <w:sz w:val="21"/>
        </w:rPr>
        <w:t>驗證</w:t>
      </w:r>
      <w:proofErr w:type="gramStart"/>
      <w:r>
        <w:rPr>
          <w:sz w:val="21"/>
        </w:rPr>
        <w:t>其</w:t>
      </w:r>
      <w:proofErr w:type="gramEnd"/>
      <w:r>
        <w:rPr>
          <w:sz w:val="21"/>
        </w:rPr>
        <w:t>：</w:t>
      </w:r>
    </w:p>
    <w:p w14:paraId="41983B05" w14:textId="77777777" w:rsidR="00F10BCA" w:rsidRDefault="00BD0B01">
      <w:pPr>
        <w:pStyle w:val="BodyEN"/>
      </w:pPr>
      <w:r>
        <w:rPr>
          <w:sz w:val="21"/>
        </w:rPr>
        <w:t xml:space="preserve">All fixes or relief measures should be verified by DQV/QA/QT before being released.: </w:t>
      </w:r>
    </w:p>
    <w:p w14:paraId="081CFC25" w14:textId="77777777" w:rsidR="00F10BCA" w:rsidRDefault="00BD0B01">
      <w:pPr>
        <w:pStyle w:val="af"/>
      </w:pPr>
      <w:r>
        <w:rPr>
          <w:sz w:val="21"/>
        </w:rPr>
        <w:t>已解決預期弱點或有效降低風險</w:t>
      </w:r>
    </w:p>
    <w:p w14:paraId="5B01DC4D" w14:textId="77777777" w:rsidR="00F10BCA" w:rsidRDefault="00BD0B01">
      <w:pPr>
        <w:pStyle w:val="BodyEN"/>
      </w:pPr>
      <w:r>
        <w:rPr>
          <w:sz w:val="21"/>
        </w:rPr>
        <w:t>Weak spots addressed or risks reduced effectively</w:t>
      </w:r>
    </w:p>
    <w:p w14:paraId="716D4D09" w14:textId="77777777" w:rsidR="00F10BCA" w:rsidRDefault="00BD0B01">
      <w:pPr>
        <w:pStyle w:val="af"/>
      </w:pPr>
      <w:r>
        <w:rPr>
          <w:sz w:val="21"/>
        </w:rPr>
        <w:t>不造成不可接受之回歸、法規衝突或關鍵功能失效</w:t>
      </w:r>
    </w:p>
    <w:p w14:paraId="09315506" w14:textId="77777777" w:rsidR="00F10BCA" w:rsidRDefault="00BD0B01">
      <w:pPr>
        <w:pStyle w:val="BodyEN"/>
      </w:pPr>
      <w:r>
        <w:rPr>
          <w:sz w:val="21"/>
        </w:rPr>
        <w:t>Do not c</w:t>
      </w:r>
      <w:r>
        <w:rPr>
          <w:sz w:val="21"/>
        </w:rPr>
        <w:t>ause unacceptable return, conflict of laws or failure of critical functions</w:t>
      </w:r>
    </w:p>
    <w:p w14:paraId="4497794F" w14:textId="77777777" w:rsidR="00F10BCA" w:rsidRDefault="00BD0B01">
      <w:pPr>
        <w:pStyle w:val="af"/>
      </w:pPr>
      <w:r>
        <w:rPr>
          <w:sz w:val="21"/>
        </w:rPr>
        <w:t>與受影響產品版本、相依元件與支援情境相容</w:t>
      </w:r>
    </w:p>
    <w:p w14:paraId="02159309" w14:textId="77777777" w:rsidR="00F10BCA" w:rsidRDefault="00BD0B01">
      <w:pPr>
        <w:pStyle w:val="BodyEN"/>
      </w:pPr>
      <w:r>
        <w:rPr>
          <w:sz w:val="21"/>
        </w:rPr>
        <w:t>Compatibility with affected product versions, dependent components and support situations</w:t>
      </w:r>
    </w:p>
    <w:p w14:paraId="10B670C0" w14:textId="77777777" w:rsidR="00F10BCA" w:rsidRDefault="00BD0B01">
      <w:pPr>
        <w:pStyle w:val="af"/>
      </w:pPr>
      <w:r>
        <w:rPr>
          <w:sz w:val="21"/>
        </w:rPr>
        <w:t>如需發布安全更新，應依安全更新管理程序辦理，並提供安裝、驗證與回復說明。</w:t>
      </w:r>
    </w:p>
    <w:p w14:paraId="42103D3C" w14:textId="77777777" w:rsidR="00F10BCA" w:rsidRDefault="00BD0B01">
      <w:pPr>
        <w:pStyle w:val="BodyEN"/>
      </w:pPr>
      <w:r>
        <w:rPr>
          <w:sz w:val="21"/>
        </w:rPr>
        <w:t>If security updates are required, they should be handled in accordance with the security update management procedures and should provide installation, validation and response instructions.</w:t>
      </w:r>
    </w:p>
    <w:p w14:paraId="0409FC38" w14:textId="77777777" w:rsidR="00F10BCA" w:rsidRDefault="00BD0B01">
      <w:pPr>
        <w:pStyle w:val="af"/>
      </w:pPr>
      <w:r>
        <w:rPr>
          <w:sz w:val="21"/>
        </w:rPr>
        <w:t>除</w:t>
      </w:r>
      <w:r>
        <w:rPr>
          <w:sz w:val="21"/>
        </w:rPr>
        <w:t xml:space="preserve"> tailor-made product </w:t>
      </w:r>
      <w:r>
        <w:rPr>
          <w:sz w:val="21"/>
        </w:rPr>
        <w:t>與</w:t>
      </w:r>
      <w:r>
        <w:rPr>
          <w:sz w:val="21"/>
        </w:rPr>
        <w:t xml:space="preserve"> busine</w:t>
      </w:r>
      <w:r>
        <w:rPr>
          <w:sz w:val="21"/>
        </w:rPr>
        <w:t xml:space="preserve">ss user </w:t>
      </w:r>
      <w:r>
        <w:rPr>
          <w:sz w:val="21"/>
        </w:rPr>
        <w:t>另有約定外，安全更新應免費提供。</w:t>
      </w:r>
    </w:p>
    <w:p w14:paraId="0E1DA685" w14:textId="77777777" w:rsidR="00F10BCA" w:rsidRDefault="00BD0B01">
      <w:pPr>
        <w:pStyle w:val="BodyEN"/>
      </w:pPr>
      <w:r>
        <w:rPr>
          <w:sz w:val="21"/>
        </w:rPr>
        <w:t>Security updates should be provided free of charge, except as otherwise agreed between tailor-made regulation and business user.</w:t>
      </w:r>
    </w:p>
    <w:p w14:paraId="2289FC4F" w14:textId="77777777" w:rsidR="00F10BCA" w:rsidRDefault="00BD0B01">
      <w:pPr>
        <w:pStyle w:val="af"/>
      </w:pPr>
      <w:r>
        <w:rPr>
          <w:sz w:val="21"/>
        </w:rPr>
        <w:t>技術可行時，安全更新應與一般功能更新分開交付，以降低使用者套用與驗證複雜度。</w:t>
      </w:r>
    </w:p>
    <w:p w14:paraId="22A11AD3" w14:textId="77777777" w:rsidR="00F10BCA" w:rsidRDefault="00BD0B01">
      <w:pPr>
        <w:pStyle w:val="BodyEN"/>
      </w:pPr>
      <w:r>
        <w:rPr>
          <w:sz w:val="21"/>
        </w:rPr>
        <w:t>When technology is feasible, security updates should be deliver</w:t>
      </w:r>
      <w:r>
        <w:rPr>
          <w:sz w:val="21"/>
        </w:rPr>
        <w:t>ed separately from general functionality upgrades to reduce user applicability and validation complexity.</w:t>
      </w:r>
    </w:p>
    <w:p w14:paraId="198EC601" w14:textId="77777777" w:rsidR="00F10BCA" w:rsidRDefault="00BD0B01">
      <w:pPr>
        <w:pStyle w:val="af"/>
      </w:pPr>
      <w:r>
        <w:rPr>
          <w:sz w:val="21"/>
        </w:rPr>
        <w:t>交付之更新檔案應具完整性與真實性保護機制，例如雜湊、數位簽章或等效驗證方式。</w:t>
      </w:r>
    </w:p>
    <w:p w14:paraId="154ED46E" w14:textId="77777777" w:rsidR="00F10BCA" w:rsidRDefault="00BD0B01">
      <w:pPr>
        <w:pStyle w:val="BodyEN"/>
      </w:pPr>
      <w:r>
        <w:rPr>
          <w:sz w:val="21"/>
        </w:rPr>
        <w:lastRenderedPageBreak/>
        <w:t>The delivery of the updated file should be accompanied by integrity and authenticity protection mechanisms, suc</w:t>
      </w:r>
      <w:r>
        <w:rPr>
          <w:sz w:val="21"/>
        </w:rPr>
        <w:t>h as a hybrid, digital signature or equivalent authentication.</w:t>
      </w:r>
    </w:p>
    <w:p w14:paraId="0C383F0E" w14:textId="77777777" w:rsidR="00F10BCA" w:rsidRDefault="00BD0B01">
      <w:pPr>
        <w:pStyle w:val="af"/>
      </w:pPr>
      <w:r>
        <w:rPr>
          <w:sz w:val="21"/>
        </w:rPr>
        <w:t xml:space="preserve">PM </w:t>
      </w:r>
      <w:r>
        <w:rPr>
          <w:sz w:val="21"/>
        </w:rPr>
        <w:t>應確認發布策略、交付路徑、客戶適用性、</w:t>
      </w:r>
      <w:r>
        <w:rPr>
          <w:sz w:val="21"/>
        </w:rPr>
        <w:t xml:space="preserve">release note </w:t>
      </w:r>
      <w:r>
        <w:rPr>
          <w:sz w:val="21"/>
        </w:rPr>
        <w:t>可理解性、客製版本需求與產品生命週期限制；技術驗證通過與否仍應以</w:t>
      </w:r>
      <w:r>
        <w:rPr>
          <w:sz w:val="21"/>
        </w:rPr>
        <w:t xml:space="preserve"> RD/DQV/QA/QT </w:t>
      </w:r>
      <w:r>
        <w:rPr>
          <w:sz w:val="21"/>
        </w:rPr>
        <w:t>證據為</w:t>
      </w:r>
      <w:proofErr w:type="gramStart"/>
      <w:r>
        <w:rPr>
          <w:sz w:val="21"/>
        </w:rPr>
        <w:t>準</w:t>
      </w:r>
      <w:proofErr w:type="gramEnd"/>
      <w:r>
        <w:rPr>
          <w:sz w:val="21"/>
        </w:rPr>
        <w:t>。</w:t>
      </w:r>
    </w:p>
    <w:p w14:paraId="64D7AD50" w14:textId="77777777" w:rsidR="00F10BCA" w:rsidRDefault="00BD0B01">
      <w:pPr>
        <w:pStyle w:val="BodyEN"/>
      </w:pPr>
      <w:r>
        <w:rPr>
          <w:sz w:val="21"/>
        </w:rPr>
        <w:t>PM should confirm the distribution strategy, delivery path, customer suitability, release note understanda</w:t>
      </w:r>
      <w:r>
        <w:rPr>
          <w:sz w:val="21"/>
        </w:rPr>
        <w:t>bility, client version demand and product life-cycle limits; technical verification should be based on RD/DQV/QA/QT evidence.</w:t>
      </w:r>
    </w:p>
    <w:p w14:paraId="4120BCDD" w14:textId="77777777" w:rsidR="00F10BCA" w:rsidRDefault="00BD0B01">
      <w:pPr>
        <w:pStyle w:val="H2"/>
      </w:pPr>
      <w:r>
        <w:rPr>
          <w:sz w:val="21"/>
        </w:rPr>
        <w:t xml:space="preserve">7.8 </w:t>
      </w:r>
      <w:r>
        <w:rPr>
          <w:sz w:val="21"/>
        </w:rPr>
        <w:t>揭露與通知決策</w:t>
      </w:r>
      <w:r>
        <w:rPr>
          <w:sz w:val="21"/>
        </w:rPr>
        <w:t xml:space="preserve"> Disclosure and Notification Decision</w:t>
      </w:r>
    </w:p>
    <w:p w14:paraId="1FFA4C38" w14:textId="77777777" w:rsidR="00F10BCA" w:rsidRDefault="00BD0B01">
      <w:pPr>
        <w:pStyle w:val="H2EN"/>
      </w:pPr>
      <w:r>
        <w:rPr>
          <w:sz w:val="21"/>
        </w:rPr>
        <w:t>7.8 Disclosure and Notification Decision</w:t>
      </w:r>
    </w:p>
    <w:p w14:paraId="604AC354" w14:textId="77777777" w:rsidR="00F10BCA" w:rsidRDefault="00BD0B01">
      <w:pPr>
        <w:pStyle w:val="af"/>
      </w:pPr>
      <w:r>
        <w:rPr>
          <w:sz w:val="21"/>
        </w:rPr>
        <w:t>原則上，</w:t>
      </w:r>
      <w:r>
        <w:rPr>
          <w:sz w:val="21"/>
        </w:rPr>
        <w:t xml:space="preserve">IEI </w:t>
      </w:r>
      <w:r>
        <w:rPr>
          <w:sz w:val="21"/>
        </w:rPr>
        <w:t>應於修補程式或</w:t>
      </w:r>
      <w:proofErr w:type="gramStart"/>
      <w:r>
        <w:rPr>
          <w:sz w:val="21"/>
        </w:rPr>
        <w:t>有效緩</w:t>
      </w:r>
      <w:proofErr w:type="gramEnd"/>
      <w:r>
        <w:rPr>
          <w:sz w:val="21"/>
        </w:rPr>
        <w:t>解措施可用後，對外揭露</w:t>
      </w:r>
      <w:r>
        <w:rPr>
          <w:sz w:val="21"/>
        </w:rPr>
        <w:t xml:space="preserve"> fixed vulnerability </w:t>
      </w:r>
      <w:r>
        <w:rPr>
          <w:sz w:val="21"/>
        </w:rPr>
        <w:t>資訊。</w:t>
      </w:r>
    </w:p>
    <w:p w14:paraId="2F345631" w14:textId="77777777" w:rsidR="00F10BCA" w:rsidRDefault="00BD0B01">
      <w:pPr>
        <w:pStyle w:val="BodyEN"/>
      </w:pPr>
      <w:r>
        <w:rPr>
          <w:sz w:val="21"/>
        </w:rPr>
        <w:t>According to the principle, IEI should disclose sexed Vulnerability information from outside when it is available to fix the program or to provide effective relief.</w:t>
      </w:r>
    </w:p>
    <w:p w14:paraId="05DB6621" w14:textId="77777777" w:rsidR="00F10BCA" w:rsidRDefault="00BD0B01">
      <w:pPr>
        <w:pStyle w:val="af"/>
      </w:pPr>
      <w:r>
        <w:rPr>
          <w:sz w:val="21"/>
        </w:rPr>
        <w:t>若弱點已廣泛知悉、疑似遭利用、法規要求加速揭露，或延遲揭露之風險高於提前通知之風險，</w:t>
      </w:r>
      <w:r>
        <w:rPr>
          <w:sz w:val="21"/>
        </w:rPr>
        <w:t>PSI</w:t>
      </w:r>
      <w:r>
        <w:rPr>
          <w:sz w:val="21"/>
        </w:rPr>
        <w:t xml:space="preserve">RT </w:t>
      </w:r>
      <w:r>
        <w:rPr>
          <w:sz w:val="21"/>
        </w:rPr>
        <w:t>得提出提前公告與暫時性建議。</w:t>
      </w:r>
    </w:p>
    <w:p w14:paraId="4CE9A8AD" w14:textId="77777777" w:rsidR="00F10BCA" w:rsidRDefault="00BD0B01">
      <w:pPr>
        <w:pStyle w:val="BodyEN"/>
      </w:pPr>
      <w:r>
        <w:rPr>
          <w:sz w:val="21"/>
        </w:rPr>
        <w:t>If the weaknesses are widely known, suspected to be exploited, the law requires accelerated disclosure, or the risk of delaying disclosure is higher than the risk of early notification, PSIRT may make an advance announcement and a tempora</w:t>
      </w:r>
      <w:r>
        <w:rPr>
          <w:sz w:val="21"/>
        </w:rPr>
        <w:t>ry recommendation.</w:t>
      </w:r>
    </w:p>
    <w:p w14:paraId="3AF8C087" w14:textId="77777777" w:rsidR="00F10BCA" w:rsidRDefault="00BD0B01">
      <w:pPr>
        <w:pStyle w:val="af"/>
      </w:pPr>
      <w:r>
        <w:rPr>
          <w:sz w:val="21"/>
        </w:rPr>
        <w:t xml:space="preserve">Medium/Low </w:t>
      </w:r>
      <w:r>
        <w:rPr>
          <w:sz w:val="21"/>
        </w:rPr>
        <w:t>弱點得於完整解決方案就緒後</w:t>
      </w:r>
      <w:proofErr w:type="gramStart"/>
      <w:r>
        <w:rPr>
          <w:sz w:val="21"/>
        </w:rPr>
        <w:t>採</w:t>
      </w:r>
      <w:proofErr w:type="gramEnd"/>
      <w:r>
        <w:rPr>
          <w:sz w:val="21"/>
        </w:rPr>
        <w:t>整合式公告。</w:t>
      </w:r>
    </w:p>
    <w:p w14:paraId="73FEC00D" w14:textId="77777777" w:rsidR="00F10BCA" w:rsidRDefault="00BD0B01">
      <w:pPr>
        <w:pStyle w:val="BodyEN"/>
      </w:pPr>
      <w:r>
        <w:rPr>
          <w:sz w:val="21"/>
        </w:rPr>
        <w:t>The Medium/Low weak point is the integrated announcement of a complete solution.</w:t>
      </w:r>
    </w:p>
    <w:p w14:paraId="0F1A97BB" w14:textId="77777777" w:rsidR="00F10BCA" w:rsidRDefault="00BD0B01">
      <w:pPr>
        <w:pStyle w:val="af"/>
      </w:pPr>
      <w:r>
        <w:rPr>
          <w:sz w:val="21"/>
        </w:rPr>
        <w:t>對於</w:t>
      </w:r>
      <w:r>
        <w:rPr>
          <w:sz w:val="21"/>
        </w:rPr>
        <w:t xml:space="preserve"> ODM/OEM </w:t>
      </w:r>
      <w:r>
        <w:rPr>
          <w:sz w:val="21"/>
        </w:rPr>
        <w:t>客製專案，應先依合約與客戶責任分工確認：</w:t>
      </w:r>
    </w:p>
    <w:p w14:paraId="0A3B8EB8" w14:textId="77777777" w:rsidR="00F10BCA" w:rsidRDefault="00BD0B01">
      <w:pPr>
        <w:pStyle w:val="BodyEN"/>
      </w:pPr>
      <w:r>
        <w:rPr>
          <w:sz w:val="21"/>
        </w:rPr>
        <w:t>For ODM/OEM client programs, confirmation should be based on contract and client liability d</w:t>
      </w:r>
      <w:r>
        <w:rPr>
          <w:sz w:val="21"/>
        </w:rPr>
        <w:t xml:space="preserve">ivision: </w:t>
      </w:r>
    </w:p>
    <w:p w14:paraId="29DEDBA6" w14:textId="77777777" w:rsidR="00F10BCA" w:rsidRDefault="00BD0B01">
      <w:pPr>
        <w:pStyle w:val="af"/>
      </w:pPr>
      <w:r>
        <w:rPr>
          <w:sz w:val="21"/>
        </w:rPr>
        <w:t>由</w:t>
      </w:r>
      <w:r>
        <w:rPr>
          <w:sz w:val="21"/>
        </w:rPr>
        <w:t xml:space="preserve"> IEI </w:t>
      </w:r>
      <w:r>
        <w:rPr>
          <w:sz w:val="21"/>
        </w:rPr>
        <w:t>公開公告</w:t>
      </w:r>
    </w:p>
    <w:p w14:paraId="659D289F" w14:textId="77777777" w:rsidR="00F10BCA" w:rsidRDefault="00BD0B01">
      <w:pPr>
        <w:pStyle w:val="BodyEN"/>
      </w:pPr>
      <w:r>
        <w:rPr>
          <w:sz w:val="21"/>
        </w:rPr>
        <w:t>Public announcement by IEI</w:t>
      </w:r>
    </w:p>
    <w:p w14:paraId="592C5A3D" w14:textId="77777777" w:rsidR="00F10BCA" w:rsidRDefault="00BD0B01">
      <w:pPr>
        <w:pStyle w:val="af"/>
      </w:pPr>
      <w:r>
        <w:rPr>
          <w:sz w:val="21"/>
        </w:rPr>
        <w:t>由客戶自行公告</w:t>
      </w:r>
    </w:p>
    <w:p w14:paraId="158EC761" w14:textId="77777777" w:rsidR="00F10BCA" w:rsidRDefault="00BD0B01">
      <w:pPr>
        <w:pStyle w:val="BodyEN"/>
      </w:pPr>
      <w:r>
        <w:rPr>
          <w:sz w:val="21"/>
        </w:rPr>
        <w:t>The client announces himself.</w:t>
      </w:r>
    </w:p>
    <w:p w14:paraId="21839953" w14:textId="77777777" w:rsidR="00F10BCA" w:rsidRDefault="00BD0B01">
      <w:pPr>
        <w:pStyle w:val="af"/>
      </w:pPr>
      <w:proofErr w:type="gramStart"/>
      <w:r>
        <w:rPr>
          <w:sz w:val="21"/>
        </w:rPr>
        <w:t>採</w:t>
      </w:r>
      <w:proofErr w:type="gramEnd"/>
      <w:r>
        <w:rPr>
          <w:sz w:val="21"/>
        </w:rPr>
        <w:t>聯合或同步公告</w:t>
      </w:r>
    </w:p>
    <w:p w14:paraId="509DCAC3" w14:textId="77777777" w:rsidR="00F10BCA" w:rsidRDefault="00BD0B01">
      <w:pPr>
        <w:pStyle w:val="BodyEN"/>
      </w:pPr>
      <w:r>
        <w:rPr>
          <w:sz w:val="21"/>
        </w:rPr>
        <w:t>Convergence or Sync Bulletin</w:t>
      </w:r>
    </w:p>
    <w:p w14:paraId="50786ADD" w14:textId="77777777" w:rsidR="00F10BCA" w:rsidRDefault="00BD0B01">
      <w:pPr>
        <w:pStyle w:val="af"/>
      </w:pPr>
      <w:r>
        <w:rPr>
          <w:sz w:val="21"/>
        </w:rPr>
        <w:t>揭露與通知決策前，</w:t>
      </w:r>
      <w:r>
        <w:rPr>
          <w:sz w:val="21"/>
        </w:rPr>
        <w:t xml:space="preserve">PSIRT </w:t>
      </w:r>
      <w:r>
        <w:rPr>
          <w:sz w:val="21"/>
        </w:rPr>
        <w:t>應取得</w:t>
      </w:r>
      <w:r>
        <w:rPr>
          <w:sz w:val="21"/>
        </w:rPr>
        <w:t xml:space="preserve"> PM </w:t>
      </w:r>
      <w:r>
        <w:rPr>
          <w:sz w:val="21"/>
        </w:rPr>
        <w:t>對產品範圍、客戶影響、</w:t>
      </w:r>
      <w:r>
        <w:rPr>
          <w:sz w:val="21"/>
        </w:rPr>
        <w:t xml:space="preserve">ODM/OEM </w:t>
      </w:r>
      <w:r>
        <w:rPr>
          <w:sz w:val="21"/>
        </w:rPr>
        <w:t>權責、客戶通知順序、合約通知義務與交付可行性之輸入；</w:t>
      </w:r>
      <w:r>
        <w:rPr>
          <w:sz w:val="21"/>
        </w:rPr>
        <w:t xml:space="preserve">PM </w:t>
      </w:r>
      <w:r>
        <w:rPr>
          <w:sz w:val="21"/>
        </w:rPr>
        <w:t>不應單獨決定是否公開揭露、延後揭露或取代</w:t>
      </w:r>
      <w:r>
        <w:rPr>
          <w:sz w:val="21"/>
        </w:rPr>
        <w:t xml:space="preserve"> PCC</w:t>
      </w:r>
      <w:r>
        <w:rPr>
          <w:sz w:val="21"/>
        </w:rPr>
        <w:t>、</w:t>
      </w:r>
      <w:r>
        <w:rPr>
          <w:sz w:val="21"/>
        </w:rPr>
        <w:t>PSIRT</w:t>
      </w:r>
      <w:r>
        <w:rPr>
          <w:sz w:val="21"/>
        </w:rPr>
        <w:t>、法</w:t>
      </w:r>
      <w:proofErr w:type="gramStart"/>
      <w:r>
        <w:rPr>
          <w:sz w:val="21"/>
        </w:rPr>
        <w:t>遵</w:t>
      </w:r>
      <w:proofErr w:type="gramEnd"/>
      <w:r>
        <w:rPr>
          <w:sz w:val="21"/>
        </w:rPr>
        <w:t>/</w:t>
      </w:r>
      <w:r>
        <w:rPr>
          <w:sz w:val="21"/>
        </w:rPr>
        <w:t>法務之決策權責。</w:t>
      </w:r>
    </w:p>
    <w:p w14:paraId="36A879D3" w14:textId="77777777" w:rsidR="00F10BCA" w:rsidRDefault="00BD0B01">
      <w:pPr>
        <w:pStyle w:val="BodyEN"/>
      </w:pPr>
      <w:r>
        <w:rPr>
          <w:sz w:val="21"/>
        </w:rPr>
        <w:t>Before exposing and</w:t>
      </w:r>
      <w:r>
        <w:rPr>
          <w:sz w:val="21"/>
        </w:rPr>
        <w:t xml:space="preserve"> informing the decision, PSIRT should obtain PM's decision on product coverage, client impact, ODM/OEM liability, customer notification sequence, contract notification obligation and delivery feasibility; PM should not decide alone whether to disclose, del</w:t>
      </w:r>
      <w:r>
        <w:rPr>
          <w:sz w:val="21"/>
        </w:rPr>
        <w:t>ay or replace PCC, PSIRT, law compliance/law enforcement.</w:t>
      </w:r>
    </w:p>
    <w:p w14:paraId="78566FD0" w14:textId="77777777" w:rsidR="00F10BCA" w:rsidRDefault="00BD0B01">
      <w:pPr>
        <w:pStyle w:val="af"/>
      </w:pPr>
      <w:r>
        <w:rPr>
          <w:sz w:val="21"/>
        </w:rPr>
        <w:t>若客戶選擇不實施修補，</w:t>
      </w:r>
      <w:r>
        <w:rPr>
          <w:sz w:val="21"/>
        </w:rPr>
        <w:t xml:space="preserve">IEI </w:t>
      </w:r>
      <w:r>
        <w:rPr>
          <w:sz w:val="21"/>
        </w:rPr>
        <w:t>應保留風險告知與溝通紀錄。</w:t>
      </w:r>
    </w:p>
    <w:p w14:paraId="270C6870" w14:textId="77777777" w:rsidR="00F10BCA" w:rsidRDefault="00BD0B01">
      <w:pPr>
        <w:pStyle w:val="BodyEN"/>
      </w:pPr>
      <w:r>
        <w:rPr>
          <w:sz w:val="21"/>
        </w:rPr>
        <w:t>If the client chooses not to apply the patch, IEI should keep a risk notification and communication log.</w:t>
      </w:r>
    </w:p>
    <w:p w14:paraId="220F5D7E" w14:textId="77777777" w:rsidR="00F10BCA" w:rsidRDefault="00BD0B01">
      <w:pPr>
        <w:pStyle w:val="af"/>
      </w:pPr>
      <w:r>
        <w:rPr>
          <w:sz w:val="21"/>
        </w:rPr>
        <w:t>對</w:t>
      </w:r>
      <w:r>
        <w:rPr>
          <w:sz w:val="21"/>
        </w:rPr>
        <w:t xml:space="preserve"> CRA </w:t>
      </w:r>
      <w:r>
        <w:rPr>
          <w:sz w:val="21"/>
        </w:rPr>
        <w:t>適用產品，若製造商判定立即公開</w:t>
      </w:r>
      <w:r>
        <w:rPr>
          <w:sz w:val="21"/>
        </w:rPr>
        <w:t xml:space="preserve"> fixed vulnerability </w:t>
      </w:r>
      <w:r>
        <w:rPr>
          <w:sz w:val="21"/>
        </w:rPr>
        <w:t>資訊之風險高於利益，得在有正當理由下延後公開</w:t>
      </w:r>
      <w:r>
        <w:rPr>
          <w:sz w:val="21"/>
        </w:rPr>
        <w:t>，直至使用者有合理機會套用修補。</w:t>
      </w:r>
    </w:p>
    <w:p w14:paraId="42826538" w14:textId="77777777" w:rsidR="00F10BCA" w:rsidRDefault="00BD0B01">
      <w:pPr>
        <w:pStyle w:val="BodyEN"/>
      </w:pPr>
      <w:r>
        <w:rPr>
          <w:sz w:val="21"/>
        </w:rPr>
        <w:t xml:space="preserve">For the CRA appliance product, if the manufacturer determines that the risk of immediate public access to sexed Vulnerability information is higher than the benefit, it must be delayed for valid reasons until the user has a reasonable </w:t>
      </w:r>
      <w:r>
        <w:rPr>
          <w:sz w:val="21"/>
        </w:rPr>
        <w:lastRenderedPageBreak/>
        <w:t>oppo</w:t>
      </w:r>
      <w:r>
        <w:rPr>
          <w:sz w:val="21"/>
        </w:rPr>
        <w:t>rtunity to apply the repair.</w:t>
      </w:r>
    </w:p>
    <w:p w14:paraId="1F71E2E6" w14:textId="77777777" w:rsidR="00F10BCA" w:rsidRDefault="00BD0B01">
      <w:pPr>
        <w:pStyle w:val="af"/>
      </w:pPr>
      <w:r>
        <w:rPr>
          <w:sz w:val="21"/>
        </w:rPr>
        <w:t>若案件需公開</w:t>
      </w:r>
      <w:r>
        <w:rPr>
          <w:sz w:val="21"/>
        </w:rPr>
        <w:t xml:space="preserve"> CVE </w:t>
      </w:r>
      <w:r>
        <w:rPr>
          <w:sz w:val="21"/>
        </w:rPr>
        <w:t>識別碼，於</w:t>
      </w:r>
      <w:r>
        <w:rPr>
          <w:sz w:val="21"/>
        </w:rPr>
        <w:t xml:space="preserve"> IEI PSIRT </w:t>
      </w:r>
      <w:r>
        <w:rPr>
          <w:sz w:val="21"/>
        </w:rPr>
        <w:t>取得</w:t>
      </w:r>
      <w:r>
        <w:rPr>
          <w:sz w:val="21"/>
        </w:rPr>
        <w:t xml:space="preserve"> CNA </w:t>
      </w:r>
      <w:r>
        <w:rPr>
          <w:sz w:val="21"/>
        </w:rPr>
        <w:t>資格前，應透過既有合作窗口或外部</w:t>
      </w:r>
      <w:r>
        <w:rPr>
          <w:sz w:val="21"/>
        </w:rPr>
        <w:t xml:space="preserve"> CNA </w:t>
      </w:r>
      <w:r>
        <w:rPr>
          <w:sz w:val="21"/>
        </w:rPr>
        <w:t>辦理；取得</w:t>
      </w:r>
      <w:r>
        <w:rPr>
          <w:sz w:val="21"/>
        </w:rPr>
        <w:t xml:space="preserve"> CNA </w:t>
      </w:r>
      <w:r>
        <w:rPr>
          <w:sz w:val="21"/>
        </w:rPr>
        <w:t>資格後，應改依</w:t>
      </w:r>
      <w:r>
        <w:rPr>
          <w:sz w:val="21"/>
        </w:rPr>
        <w:t xml:space="preserve"> IEI </w:t>
      </w:r>
      <w:r>
        <w:rPr>
          <w:sz w:val="21"/>
        </w:rPr>
        <w:t>內部</w:t>
      </w:r>
      <w:r>
        <w:rPr>
          <w:sz w:val="21"/>
        </w:rPr>
        <w:t xml:space="preserve"> CNA </w:t>
      </w:r>
      <w:r>
        <w:rPr>
          <w:sz w:val="21"/>
        </w:rPr>
        <w:t>作業流程分配、審查與發布。</w:t>
      </w:r>
    </w:p>
    <w:p w14:paraId="6F1A44F4" w14:textId="77777777" w:rsidR="00F10BCA" w:rsidRDefault="00BD0B01">
      <w:pPr>
        <w:pStyle w:val="BodyEN"/>
      </w:pPr>
      <w:r>
        <w:rPr>
          <w:sz w:val="21"/>
        </w:rPr>
        <w:t>If the CVE identification is to be made public, before IEI PSIRT acquires the CCA qualification, it should be handled through the</w:t>
      </w:r>
      <w:r>
        <w:rPr>
          <w:sz w:val="21"/>
        </w:rPr>
        <w:t xml:space="preserve"> existing co-operative window or external CCA; after obtaining the CCA qualification, it should be changed to the IEI internal CCA process allocation, review and distribution.</w:t>
      </w:r>
    </w:p>
    <w:p w14:paraId="5DD435B5" w14:textId="77777777" w:rsidR="00F10BCA" w:rsidRDefault="00BD0B01">
      <w:pPr>
        <w:pStyle w:val="af"/>
      </w:pPr>
      <w:r>
        <w:rPr>
          <w:sz w:val="21"/>
        </w:rPr>
        <w:t>對外發布</w:t>
      </w:r>
      <w:r>
        <w:rPr>
          <w:sz w:val="21"/>
        </w:rPr>
        <w:t xml:space="preserve"> fixed vulnerability </w:t>
      </w:r>
      <w:r>
        <w:rPr>
          <w:sz w:val="21"/>
        </w:rPr>
        <w:t>資訊時，應至少提供</w:t>
      </w:r>
      <w:r>
        <w:rPr>
          <w:sz w:val="21"/>
        </w:rPr>
        <w:t xml:space="preserve"> human-readable advisory </w:t>
      </w:r>
      <w:proofErr w:type="gramStart"/>
      <w:r>
        <w:rPr>
          <w:sz w:val="21"/>
        </w:rPr>
        <w:t>或等效公告</w:t>
      </w:r>
      <w:proofErr w:type="gramEnd"/>
      <w:r>
        <w:rPr>
          <w:sz w:val="21"/>
        </w:rPr>
        <w:t>；若產品風險、法規要求、客戶要求</w:t>
      </w:r>
      <w:r>
        <w:rPr>
          <w:sz w:val="21"/>
        </w:rPr>
        <w:t>或加嚴要求適用，應支援</w:t>
      </w:r>
      <w:r>
        <w:rPr>
          <w:sz w:val="21"/>
        </w:rPr>
        <w:t xml:space="preserve"> widely recognized machine-readable advisory </w:t>
      </w:r>
      <w:r>
        <w:rPr>
          <w:sz w:val="21"/>
        </w:rPr>
        <w:t>格式。</w:t>
      </w:r>
    </w:p>
    <w:p w14:paraId="311D3E57" w14:textId="77777777" w:rsidR="00F10BCA" w:rsidRDefault="00BD0B01">
      <w:pPr>
        <w:pStyle w:val="BodyEN"/>
      </w:pPr>
      <w:r>
        <w:rPr>
          <w:sz w:val="21"/>
        </w:rPr>
        <w:t>At a minimum, human-readable announcement or equivalent should be provided for the external distribution of sex-based Vulnerability information; a wide-ranging recognized machine-readable applicat</w:t>
      </w:r>
      <w:r>
        <w:rPr>
          <w:sz w:val="21"/>
        </w:rPr>
        <w:t>ion format should be supported if the product risks, legal requirements, client requests or more stringent requirements.</w:t>
      </w:r>
    </w:p>
    <w:p w14:paraId="49ED646D" w14:textId="77777777" w:rsidR="00F10BCA" w:rsidRDefault="00BD0B01">
      <w:pPr>
        <w:pStyle w:val="af"/>
      </w:pPr>
      <w:r>
        <w:rPr>
          <w:sz w:val="21"/>
        </w:rPr>
        <w:t>公開弱點資訊宜視適用性同步至</w:t>
      </w:r>
      <w:r>
        <w:rPr>
          <w:sz w:val="21"/>
        </w:rPr>
        <w:t xml:space="preserve"> CVE</w:t>
      </w:r>
      <w:r>
        <w:rPr>
          <w:sz w:val="21"/>
        </w:rPr>
        <w:t>、</w:t>
      </w:r>
      <w:r>
        <w:rPr>
          <w:sz w:val="21"/>
        </w:rPr>
        <w:t xml:space="preserve">EUVD </w:t>
      </w:r>
      <w:r>
        <w:rPr>
          <w:sz w:val="21"/>
        </w:rPr>
        <w:t>或其他相關弱點資料庫；若未同步，應於案件紀錄中保留原因。</w:t>
      </w:r>
    </w:p>
    <w:p w14:paraId="333274C0" w14:textId="77777777" w:rsidR="00F10BCA" w:rsidRDefault="00BD0B01">
      <w:pPr>
        <w:pStyle w:val="BodyEN"/>
      </w:pPr>
      <w:r>
        <w:rPr>
          <w:sz w:val="21"/>
        </w:rPr>
        <w:t>The public weakness information should be synchronized with CVE, EUVD or other rel</w:t>
      </w:r>
      <w:r>
        <w:rPr>
          <w:sz w:val="21"/>
        </w:rPr>
        <w:t>evant weakness databases; if not, the reasons should be kept in the case log.</w:t>
      </w:r>
    </w:p>
    <w:p w14:paraId="31B5CAB5" w14:textId="77777777" w:rsidR="00F10BCA" w:rsidRDefault="00BD0B01">
      <w:pPr>
        <w:pStyle w:val="H2"/>
      </w:pPr>
      <w:r>
        <w:rPr>
          <w:sz w:val="21"/>
        </w:rPr>
        <w:t xml:space="preserve">7.9 CRA </w:t>
      </w:r>
      <w:r>
        <w:rPr>
          <w:sz w:val="21"/>
        </w:rPr>
        <w:t>強制通報</w:t>
      </w:r>
      <w:r>
        <w:rPr>
          <w:sz w:val="21"/>
        </w:rPr>
        <w:t xml:space="preserve"> CRA Mandatory Reporting</w:t>
      </w:r>
    </w:p>
    <w:p w14:paraId="262E5D3E" w14:textId="77777777" w:rsidR="00F10BCA" w:rsidRDefault="00BD0B01">
      <w:pPr>
        <w:pStyle w:val="H2EN"/>
      </w:pPr>
      <w:r>
        <w:rPr>
          <w:sz w:val="21"/>
        </w:rPr>
        <w:t>7.9 CRA Mandatory Reporting</w:t>
      </w:r>
    </w:p>
    <w:p w14:paraId="5BBBE50B" w14:textId="77777777" w:rsidR="00F10BCA" w:rsidRDefault="00BD0B01">
      <w:pPr>
        <w:pStyle w:val="af"/>
      </w:pPr>
      <w:r>
        <w:rPr>
          <w:sz w:val="21"/>
        </w:rPr>
        <w:t xml:space="preserve">CRA Article 14 </w:t>
      </w:r>
      <w:r>
        <w:rPr>
          <w:sz w:val="21"/>
        </w:rPr>
        <w:t>通報義務自</w:t>
      </w:r>
      <w:r>
        <w:rPr>
          <w:sz w:val="21"/>
        </w:rPr>
        <w:t xml:space="preserve"> 2026 </w:t>
      </w:r>
      <w:r>
        <w:rPr>
          <w:sz w:val="21"/>
        </w:rPr>
        <w:t>年</w:t>
      </w:r>
      <w:r>
        <w:rPr>
          <w:sz w:val="21"/>
        </w:rPr>
        <w:t xml:space="preserve"> 9 </w:t>
      </w:r>
      <w:r>
        <w:rPr>
          <w:sz w:val="21"/>
        </w:rPr>
        <w:t>月</w:t>
      </w:r>
      <w:r>
        <w:rPr>
          <w:sz w:val="21"/>
        </w:rPr>
        <w:t xml:space="preserve"> 11 </w:t>
      </w:r>
      <w:r>
        <w:rPr>
          <w:sz w:val="21"/>
        </w:rPr>
        <w:t>日起適用；</w:t>
      </w:r>
      <w:r>
        <w:rPr>
          <w:sz w:val="21"/>
        </w:rPr>
        <w:t xml:space="preserve">CRA </w:t>
      </w:r>
      <w:r>
        <w:rPr>
          <w:sz w:val="21"/>
        </w:rPr>
        <w:t>其餘核心弱點處理要求原則上自</w:t>
      </w:r>
      <w:r>
        <w:rPr>
          <w:sz w:val="21"/>
        </w:rPr>
        <w:t xml:space="preserve"> 2027 </w:t>
      </w:r>
      <w:r>
        <w:rPr>
          <w:sz w:val="21"/>
        </w:rPr>
        <w:t>年</w:t>
      </w:r>
      <w:r>
        <w:rPr>
          <w:sz w:val="21"/>
        </w:rPr>
        <w:t xml:space="preserve"> 12 </w:t>
      </w:r>
      <w:r>
        <w:rPr>
          <w:sz w:val="21"/>
        </w:rPr>
        <w:t>月</w:t>
      </w:r>
      <w:r>
        <w:rPr>
          <w:sz w:val="21"/>
        </w:rPr>
        <w:t xml:space="preserve"> 11 </w:t>
      </w:r>
      <w:r>
        <w:rPr>
          <w:sz w:val="21"/>
        </w:rPr>
        <w:t>日起全面適用。若</w:t>
      </w:r>
      <w:r>
        <w:rPr>
          <w:sz w:val="21"/>
        </w:rPr>
        <w:t xml:space="preserve"> IEI </w:t>
      </w:r>
      <w:r>
        <w:rPr>
          <w:sz w:val="21"/>
        </w:rPr>
        <w:t>知悉以下情形，應啟動</w:t>
      </w:r>
      <w:r>
        <w:rPr>
          <w:sz w:val="21"/>
        </w:rPr>
        <w:t xml:space="preserve"> CRA </w:t>
      </w:r>
      <w:r>
        <w:rPr>
          <w:sz w:val="21"/>
        </w:rPr>
        <w:t>通報流程：</w:t>
      </w:r>
    </w:p>
    <w:p w14:paraId="524EC8D0" w14:textId="77777777" w:rsidR="00F10BCA" w:rsidRDefault="00BD0B01">
      <w:pPr>
        <w:pStyle w:val="BodyEN"/>
      </w:pPr>
      <w:r>
        <w:rPr>
          <w:sz w:val="21"/>
        </w:rPr>
        <w:t xml:space="preserve">CRA Article 14 reports that it has been applied since September 11, 2026; CRA's remaining core weakness management requirements are fully applied since December 11, 2027. If IEI is aware of the following, the CRA reporting process should be activated: </w:t>
      </w:r>
    </w:p>
    <w:p w14:paraId="337AAA08" w14:textId="77777777" w:rsidR="00F10BCA" w:rsidRDefault="00BD0B01">
      <w:pPr>
        <w:pStyle w:val="af"/>
      </w:pPr>
      <w:r>
        <w:rPr>
          <w:sz w:val="21"/>
        </w:rPr>
        <w:t>已遭主</w:t>
      </w:r>
      <w:r>
        <w:rPr>
          <w:sz w:val="21"/>
        </w:rPr>
        <w:t>動利用弱點</w:t>
      </w:r>
    </w:p>
    <w:p w14:paraId="03D9BFEA" w14:textId="77777777" w:rsidR="00F10BCA" w:rsidRDefault="00BD0B01">
      <w:pPr>
        <w:pStyle w:val="BodyEN"/>
      </w:pPr>
      <w:r>
        <w:rPr>
          <w:sz w:val="21"/>
        </w:rPr>
        <w:t>They've taken advantage of the weakness.</w:t>
      </w:r>
    </w:p>
    <w:p w14:paraId="53A420AA" w14:textId="77777777" w:rsidR="00F10BCA" w:rsidRDefault="00BD0B01">
      <w:pPr>
        <w:pStyle w:val="af"/>
      </w:pPr>
      <w:r>
        <w:rPr>
          <w:sz w:val="21"/>
        </w:rPr>
        <w:t>對產品數位安全造成重大影響之嚴重事件</w:t>
      </w:r>
    </w:p>
    <w:p w14:paraId="5A85FD7C" w14:textId="77777777" w:rsidR="00F10BCA" w:rsidRDefault="00BD0B01">
      <w:pPr>
        <w:pStyle w:val="BodyEN"/>
      </w:pPr>
      <w:r>
        <w:rPr>
          <w:sz w:val="21"/>
        </w:rPr>
        <w:t>A serious event that had a significant impact on product digital security.</w:t>
      </w:r>
    </w:p>
    <w:p w14:paraId="615A752E" w14:textId="77777777" w:rsidR="00F10BCA" w:rsidRDefault="00BD0B01">
      <w:pPr>
        <w:pStyle w:val="af"/>
      </w:pPr>
      <w:r>
        <w:rPr>
          <w:sz w:val="21"/>
        </w:rPr>
        <w:t>若</w:t>
      </w:r>
      <w:r>
        <w:rPr>
          <w:sz w:val="21"/>
        </w:rPr>
        <w:t xml:space="preserve"> IEI </w:t>
      </w:r>
      <w:r>
        <w:rPr>
          <w:sz w:val="21"/>
        </w:rPr>
        <w:t>為該產品於</w:t>
      </w:r>
      <w:r>
        <w:rPr>
          <w:sz w:val="21"/>
        </w:rPr>
        <w:t xml:space="preserve"> EU </w:t>
      </w:r>
      <w:r>
        <w:rPr>
          <w:sz w:val="21"/>
        </w:rPr>
        <w:t>市場之</w:t>
      </w:r>
      <w:r>
        <w:rPr>
          <w:sz w:val="21"/>
        </w:rPr>
        <w:t xml:space="preserve"> CRA </w:t>
      </w:r>
      <w:r>
        <w:rPr>
          <w:sz w:val="21"/>
        </w:rPr>
        <w:t>第一線通報責任人，通報應透過</w:t>
      </w:r>
      <w:r>
        <w:rPr>
          <w:sz w:val="21"/>
        </w:rPr>
        <w:t xml:space="preserve"> ENISA </w:t>
      </w:r>
      <w:r>
        <w:rPr>
          <w:sz w:val="21"/>
        </w:rPr>
        <w:t>建置之</w:t>
      </w:r>
      <w:r>
        <w:rPr>
          <w:sz w:val="21"/>
        </w:rPr>
        <w:t xml:space="preserve"> Single Reporting Platform</w:t>
      </w:r>
      <w:r>
        <w:rPr>
          <w:sz w:val="21"/>
        </w:rPr>
        <w:t>（</w:t>
      </w:r>
      <w:r>
        <w:rPr>
          <w:sz w:val="21"/>
        </w:rPr>
        <w:t>SRP</w:t>
      </w:r>
      <w:r>
        <w:rPr>
          <w:sz w:val="21"/>
        </w:rPr>
        <w:t>）辦理，並由</w:t>
      </w:r>
      <w:r>
        <w:rPr>
          <w:sz w:val="21"/>
        </w:rPr>
        <w:t xml:space="preserve"> PSIRT </w:t>
      </w:r>
      <w:r>
        <w:rPr>
          <w:sz w:val="21"/>
        </w:rPr>
        <w:t>主責，法</w:t>
      </w:r>
      <w:proofErr w:type="gramStart"/>
      <w:r>
        <w:rPr>
          <w:sz w:val="21"/>
        </w:rPr>
        <w:t>遵</w:t>
      </w:r>
      <w:proofErr w:type="gramEnd"/>
      <w:r>
        <w:rPr>
          <w:sz w:val="21"/>
        </w:rPr>
        <w:t>/</w:t>
      </w:r>
      <w:r>
        <w:rPr>
          <w:sz w:val="21"/>
        </w:rPr>
        <w:t>法務支援。</w:t>
      </w:r>
    </w:p>
    <w:p w14:paraId="664E5E91" w14:textId="77777777" w:rsidR="00F10BCA" w:rsidRDefault="00BD0B01">
      <w:pPr>
        <w:pStyle w:val="BodyEN"/>
      </w:pPr>
      <w:r>
        <w:rPr>
          <w:sz w:val="21"/>
        </w:rPr>
        <w:t>If IEI is res</w:t>
      </w:r>
      <w:r>
        <w:rPr>
          <w:sz w:val="21"/>
        </w:rPr>
        <w:t>ponsible for reporting on the product on the EU market, the report should be made available through the Single Reporting Platform (SRP) created by ENISA, and under the responsibility of the PSIRT, the legal compliance/legal support.</w:t>
      </w:r>
    </w:p>
    <w:p w14:paraId="678EE05A" w14:textId="77777777" w:rsidR="00F10BCA" w:rsidRDefault="00BD0B01">
      <w:pPr>
        <w:pStyle w:val="af"/>
      </w:pPr>
      <w:r>
        <w:rPr>
          <w:sz w:val="21"/>
        </w:rPr>
        <w:t>時限如下：</w:t>
      </w:r>
    </w:p>
    <w:p w14:paraId="6F41CA50" w14:textId="77777777" w:rsidR="00F10BCA" w:rsidRDefault="00BD0B01">
      <w:pPr>
        <w:pStyle w:val="BodyEN"/>
      </w:pPr>
      <w:r>
        <w:rPr>
          <w:sz w:val="21"/>
        </w:rPr>
        <w:t xml:space="preserve">The time limit is as </w:t>
      </w:r>
      <w:proofErr w:type="gramStart"/>
      <w:r>
        <w:rPr>
          <w:sz w:val="21"/>
        </w:rPr>
        <w:t>follows::</w:t>
      </w:r>
      <w:proofErr w:type="gramEnd"/>
      <w:r>
        <w:rPr>
          <w:sz w:val="21"/>
        </w:rPr>
        <w:t xml:space="preserve"> </w:t>
      </w:r>
    </w:p>
    <w:p w14:paraId="49FB554D" w14:textId="77777777" w:rsidR="00F10BCA" w:rsidRDefault="00BD0B01">
      <w:pPr>
        <w:pStyle w:val="af"/>
      </w:pPr>
      <w:r>
        <w:rPr>
          <w:sz w:val="21"/>
        </w:rPr>
        <w:t xml:space="preserve">24 </w:t>
      </w:r>
      <w:r>
        <w:rPr>
          <w:sz w:val="21"/>
        </w:rPr>
        <w:t>小時內</w:t>
      </w:r>
      <w:r>
        <w:rPr>
          <w:sz w:val="21"/>
        </w:rPr>
        <w:t>`</w:t>
      </w:r>
      <w:r>
        <w:rPr>
          <w:sz w:val="21"/>
        </w:rPr>
        <w:t>：</w:t>
      </w:r>
      <w:r>
        <w:rPr>
          <w:sz w:val="21"/>
        </w:rPr>
        <w:t>early warning</w:t>
      </w:r>
    </w:p>
    <w:p w14:paraId="4A0436BA" w14:textId="77777777" w:rsidR="00F10BCA" w:rsidRDefault="00BD0B01">
      <w:pPr>
        <w:pStyle w:val="BodyEN"/>
      </w:pPr>
      <w:r>
        <w:rPr>
          <w:sz w:val="21"/>
        </w:rPr>
        <w:t>Within 24 hours: early warning</w:t>
      </w:r>
    </w:p>
    <w:p w14:paraId="1EB4498D" w14:textId="77777777" w:rsidR="00F10BCA" w:rsidRDefault="00BD0B01">
      <w:pPr>
        <w:pStyle w:val="af"/>
      </w:pPr>
      <w:r>
        <w:rPr>
          <w:sz w:val="21"/>
        </w:rPr>
        <w:t xml:space="preserve">72 </w:t>
      </w:r>
      <w:r>
        <w:rPr>
          <w:sz w:val="21"/>
        </w:rPr>
        <w:t>小時內</w:t>
      </w:r>
      <w:r>
        <w:rPr>
          <w:sz w:val="21"/>
        </w:rPr>
        <w:t>`</w:t>
      </w:r>
      <w:r>
        <w:rPr>
          <w:sz w:val="21"/>
        </w:rPr>
        <w:t>：正式通知與初步評估</w:t>
      </w:r>
    </w:p>
    <w:p w14:paraId="057660BF" w14:textId="77777777" w:rsidR="00F10BCA" w:rsidRDefault="00BD0B01">
      <w:pPr>
        <w:pStyle w:val="BodyEN"/>
      </w:pPr>
      <w:r>
        <w:rPr>
          <w:sz w:val="21"/>
        </w:rPr>
        <w:t>72 hours: Official notification and preliminary assessment</w:t>
      </w:r>
    </w:p>
    <w:p w14:paraId="296A2D8B" w14:textId="77777777" w:rsidR="00F10BCA" w:rsidRDefault="00BD0B01">
      <w:pPr>
        <w:pStyle w:val="af"/>
      </w:pPr>
      <w:r>
        <w:rPr>
          <w:sz w:val="21"/>
        </w:rPr>
        <w:t>最終報告</w:t>
      </w:r>
      <w:r>
        <w:rPr>
          <w:sz w:val="21"/>
        </w:rPr>
        <w:t>`</w:t>
      </w:r>
      <w:r>
        <w:rPr>
          <w:sz w:val="21"/>
        </w:rPr>
        <w:t>：</w:t>
      </w:r>
    </w:p>
    <w:p w14:paraId="69620323" w14:textId="77777777" w:rsidR="00F10BCA" w:rsidRDefault="00BD0B01">
      <w:pPr>
        <w:pStyle w:val="BodyEN"/>
      </w:pPr>
      <w:r>
        <w:rPr>
          <w:sz w:val="21"/>
        </w:rPr>
        <w:t xml:space="preserve">Final report: </w:t>
      </w:r>
    </w:p>
    <w:p w14:paraId="701F4727" w14:textId="77777777" w:rsidR="00F10BCA" w:rsidRDefault="00BD0B01">
      <w:pPr>
        <w:pStyle w:val="af"/>
      </w:pPr>
      <w:r>
        <w:rPr>
          <w:sz w:val="21"/>
        </w:rPr>
        <w:lastRenderedPageBreak/>
        <w:t>已遭主動利用弱點：於</w:t>
      </w:r>
      <w:r>
        <w:rPr>
          <w:sz w:val="21"/>
        </w:rPr>
        <w:t xml:space="preserve"> corrective measure </w:t>
      </w:r>
      <w:r>
        <w:rPr>
          <w:sz w:val="21"/>
        </w:rPr>
        <w:t>可用後</w:t>
      </w:r>
      <w:r>
        <w:rPr>
          <w:sz w:val="21"/>
        </w:rPr>
        <w:t xml:space="preserve"> 14 </w:t>
      </w:r>
      <w:r>
        <w:rPr>
          <w:sz w:val="21"/>
        </w:rPr>
        <w:t>日內</w:t>
      </w:r>
    </w:p>
    <w:p w14:paraId="7AF9A384" w14:textId="77777777" w:rsidR="00F10BCA" w:rsidRDefault="00BD0B01">
      <w:pPr>
        <w:pStyle w:val="BodyEN"/>
      </w:pPr>
      <w:r>
        <w:rPr>
          <w:sz w:val="21"/>
        </w:rPr>
        <w:t>They've taken advantage of the w</w:t>
      </w:r>
      <w:r>
        <w:rPr>
          <w:sz w:val="21"/>
        </w:rPr>
        <w:t>eakness.: Within 14 days of availability</w:t>
      </w:r>
    </w:p>
    <w:p w14:paraId="56030500" w14:textId="77777777" w:rsidR="00F10BCA" w:rsidRDefault="00BD0B01">
      <w:pPr>
        <w:pStyle w:val="af"/>
      </w:pPr>
      <w:r>
        <w:rPr>
          <w:sz w:val="21"/>
        </w:rPr>
        <w:t>嚴重事件：自初始通知起</w:t>
      </w:r>
      <w:r>
        <w:rPr>
          <w:sz w:val="21"/>
        </w:rPr>
        <w:t xml:space="preserve"> 1 </w:t>
      </w:r>
      <w:proofErr w:type="gramStart"/>
      <w:r>
        <w:rPr>
          <w:sz w:val="21"/>
        </w:rPr>
        <w:t>個</w:t>
      </w:r>
      <w:proofErr w:type="gramEnd"/>
      <w:r>
        <w:rPr>
          <w:sz w:val="21"/>
        </w:rPr>
        <w:t>月內</w:t>
      </w:r>
    </w:p>
    <w:p w14:paraId="4CE3A931" w14:textId="77777777" w:rsidR="00F10BCA" w:rsidRDefault="00BD0B01">
      <w:pPr>
        <w:pStyle w:val="BodyEN"/>
      </w:pPr>
      <w:r>
        <w:rPr>
          <w:sz w:val="21"/>
        </w:rPr>
        <w:t>Serious incidents: Within 1 month of initial notification</w:t>
      </w:r>
    </w:p>
    <w:p w14:paraId="54DE8E9F" w14:textId="77777777" w:rsidR="00F10BCA" w:rsidRDefault="00BD0B01">
      <w:pPr>
        <w:pStyle w:val="af"/>
      </w:pPr>
      <w:r>
        <w:rPr>
          <w:sz w:val="21"/>
        </w:rPr>
        <w:t xml:space="preserve">CRA Awareness Time` </w:t>
      </w:r>
      <w:r>
        <w:rPr>
          <w:sz w:val="21"/>
        </w:rPr>
        <w:t>應以</w:t>
      </w:r>
      <w:r>
        <w:rPr>
          <w:sz w:val="21"/>
        </w:rPr>
        <w:t xml:space="preserve"> PSIRT </w:t>
      </w:r>
      <w:r>
        <w:rPr>
          <w:sz w:val="21"/>
        </w:rPr>
        <w:t>首次具備可支持</w:t>
      </w:r>
      <w:r>
        <w:rPr>
          <w:sz w:val="21"/>
        </w:rPr>
        <w:t xml:space="preserve"> E3 </w:t>
      </w:r>
      <w:r>
        <w:rPr>
          <w:sz w:val="21"/>
        </w:rPr>
        <w:t>或嚴重事件判定之可靠證據時間為起算參考，並於</w:t>
      </w:r>
      <w:r>
        <w:rPr>
          <w:sz w:val="21"/>
        </w:rPr>
        <w:t xml:space="preserve"> Jira </w:t>
      </w:r>
      <w:r>
        <w:rPr>
          <w:sz w:val="21"/>
        </w:rPr>
        <w:t>主案件記錄證據來源、判定人、通知時間、責任角色判定與</w:t>
      </w:r>
      <w:r>
        <w:rPr>
          <w:sz w:val="21"/>
        </w:rPr>
        <w:t xml:space="preserve"> PCC </w:t>
      </w:r>
      <w:r>
        <w:rPr>
          <w:sz w:val="21"/>
        </w:rPr>
        <w:t>決策。</w:t>
      </w:r>
    </w:p>
    <w:p w14:paraId="79125116" w14:textId="77777777" w:rsidR="00F10BCA" w:rsidRDefault="00BD0B01">
      <w:pPr>
        <w:pStyle w:val="BodyEN"/>
      </w:pPr>
      <w:r>
        <w:rPr>
          <w:sz w:val="21"/>
        </w:rPr>
        <w:t>CRA Awareness Time ' should start wi</w:t>
      </w:r>
      <w:r>
        <w:rPr>
          <w:sz w:val="21"/>
        </w:rPr>
        <w:t>th PSIRT ' s first time with reliable evidence to support E3 or serious incident determination, and with Jira ' s main case record evidence source, adjudicator, time for notification, role determination and PCC decision.</w:t>
      </w:r>
    </w:p>
    <w:p w14:paraId="4EBDA557" w14:textId="77777777" w:rsidR="00F10BCA" w:rsidRDefault="00BD0B01">
      <w:pPr>
        <w:pStyle w:val="af"/>
      </w:pPr>
      <w:r>
        <w:rPr>
          <w:sz w:val="21"/>
        </w:rPr>
        <w:t>為滿足前述時限，</w:t>
      </w:r>
      <w:r>
        <w:rPr>
          <w:sz w:val="21"/>
        </w:rPr>
        <w:t xml:space="preserve">PSIRT </w:t>
      </w:r>
      <w:r>
        <w:rPr>
          <w:sz w:val="21"/>
        </w:rPr>
        <w:t>應於內部建立同日升級機制；凡疑似觸發</w:t>
      </w:r>
      <w:r>
        <w:rPr>
          <w:sz w:val="21"/>
        </w:rPr>
        <w:t xml:space="preserve"> CR</w:t>
      </w:r>
      <w:r>
        <w:rPr>
          <w:sz w:val="21"/>
        </w:rPr>
        <w:t xml:space="preserve">A </w:t>
      </w:r>
      <w:r>
        <w:rPr>
          <w:sz w:val="21"/>
        </w:rPr>
        <w:t>者，案件建立後應立即通知</w:t>
      </w:r>
      <w:r>
        <w:rPr>
          <w:sz w:val="21"/>
        </w:rPr>
        <w:t xml:space="preserve"> PCC</w:t>
      </w:r>
      <w:r>
        <w:rPr>
          <w:sz w:val="21"/>
        </w:rPr>
        <w:t>、法</w:t>
      </w:r>
      <w:proofErr w:type="gramStart"/>
      <w:r>
        <w:rPr>
          <w:sz w:val="21"/>
        </w:rPr>
        <w:t>遵</w:t>
      </w:r>
      <w:proofErr w:type="gramEnd"/>
      <w:r>
        <w:rPr>
          <w:sz w:val="21"/>
        </w:rPr>
        <w:t>/</w:t>
      </w:r>
      <w:r>
        <w:rPr>
          <w:sz w:val="21"/>
        </w:rPr>
        <w:t>法務、</w:t>
      </w:r>
      <w:r>
        <w:rPr>
          <w:sz w:val="21"/>
        </w:rPr>
        <w:t>PM</w:t>
      </w:r>
      <w:r>
        <w:rPr>
          <w:sz w:val="21"/>
        </w:rPr>
        <w:t>、業務</w:t>
      </w:r>
      <w:r>
        <w:rPr>
          <w:sz w:val="21"/>
        </w:rPr>
        <w:t>/</w:t>
      </w:r>
      <w:r>
        <w:rPr>
          <w:sz w:val="21"/>
        </w:rPr>
        <w:t>客服與相關主管，以確認</w:t>
      </w:r>
      <w:r>
        <w:rPr>
          <w:sz w:val="21"/>
        </w:rPr>
        <w:t xml:space="preserve"> IEI</w:t>
      </w:r>
      <w:r>
        <w:rPr>
          <w:sz w:val="21"/>
        </w:rPr>
        <w:t>、</w:t>
      </w:r>
      <w:r>
        <w:rPr>
          <w:sz w:val="21"/>
        </w:rPr>
        <w:t xml:space="preserve">ODM/OEM </w:t>
      </w:r>
      <w:r>
        <w:rPr>
          <w:sz w:val="21"/>
        </w:rPr>
        <w:t>客戶、品牌客戶、進口商、經銷商或其他供應鏈角色之通報責任。</w:t>
      </w:r>
    </w:p>
    <w:p w14:paraId="5C7CC741" w14:textId="77777777" w:rsidR="00F10BCA" w:rsidRDefault="00BD0B01">
      <w:pPr>
        <w:pStyle w:val="BodyEN"/>
      </w:pPr>
      <w:r>
        <w:rPr>
          <w:sz w:val="21"/>
        </w:rPr>
        <w:t>In order to meet the above-mentioned time limits, PSIRT should establish a system of upgrades for the same day; any suspected CRA triggers should be notified as soon as th</w:t>
      </w:r>
      <w:r>
        <w:rPr>
          <w:sz w:val="21"/>
        </w:rPr>
        <w:t>e case is established to confirm the accountability of IEI, ODM/OEM clients, brand customers, importers, distributors or other supply chain players.</w:t>
      </w:r>
    </w:p>
    <w:p w14:paraId="39F501D9" w14:textId="77777777" w:rsidR="00F10BCA" w:rsidRDefault="00BD0B01">
      <w:pPr>
        <w:pStyle w:val="af"/>
      </w:pPr>
      <w:r>
        <w:rPr>
          <w:sz w:val="21"/>
        </w:rPr>
        <w:t xml:space="preserve">PM </w:t>
      </w:r>
      <w:r>
        <w:rPr>
          <w:sz w:val="21"/>
        </w:rPr>
        <w:t>應於同日協助確認產品是否進入</w:t>
      </w:r>
      <w:r>
        <w:rPr>
          <w:sz w:val="21"/>
        </w:rPr>
        <w:t xml:space="preserve"> EU </w:t>
      </w:r>
      <w:r>
        <w:rPr>
          <w:sz w:val="21"/>
        </w:rPr>
        <w:t>市場、</w:t>
      </w:r>
      <w:r>
        <w:rPr>
          <w:sz w:val="21"/>
        </w:rPr>
        <w:t xml:space="preserve">IEI/ODM/OEM </w:t>
      </w:r>
      <w:r>
        <w:rPr>
          <w:sz w:val="21"/>
        </w:rPr>
        <w:t>客戶</w:t>
      </w:r>
      <w:r>
        <w:rPr>
          <w:sz w:val="21"/>
        </w:rPr>
        <w:t>/</w:t>
      </w:r>
      <w:r>
        <w:rPr>
          <w:sz w:val="21"/>
        </w:rPr>
        <w:t>品牌客戶</w:t>
      </w:r>
      <w:r>
        <w:rPr>
          <w:sz w:val="21"/>
        </w:rPr>
        <w:t>/</w:t>
      </w:r>
      <w:r>
        <w:rPr>
          <w:sz w:val="21"/>
        </w:rPr>
        <w:t>進口商</w:t>
      </w:r>
      <w:r>
        <w:rPr>
          <w:sz w:val="21"/>
        </w:rPr>
        <w:t>/</w:t>
      </w:r>
      <w:r>
        <w:rPr>
          <w:sz w:val="21"/>
        </w:rPr>
        <w:t>經銷商之供應鏈角色、客戶通報支援窗口、支援期間與</w:t>
      </w:r>
      <w:r>
        <w:rPr>
          <w:sz w:val="21"/>
        </w:rPr>
        <w:t xml:space="preserve"> CRA </w:t>
      </w:r>
      <w:r>
        <w:rPr>
          <w:sz w:val="21"/>
        </w:rPr>
        <w:t>適用性；若資訊尚未完整，應先提供已知資訊與不確定性，後續持續</w:t>
      </w:r>
      <w:r>
        <w:rPr>
          <w:sz w:val="21"/>
        </w:rPr>
        <w:t>更新</w:t>
      </w:r>
      <w:r>
        <w:rPr>
          <w:sz w:val="21"/>
        </w:rPr>
        <w:t xml:space="preserve"> Jira </w:t>
      </w:r>
      <w:r>
        <w:rPr>
          <w:sz w:val="21"/>
        </w:rPr>
        <w:t>主案件。</w:t>
      </w:r>
    </w:p>
    <w:p w14:paraId="0754B7A1" w14:textId="77777777" w:rsidR="00F10BCA" w:rsidRDefault="00BD0B01">
      <w:pPr>
        <w:pStyle w:val="BodyEN"/>
      </w:pPr>
      <w:r>
        <w:rPr>
          <w:sz w:val="21"/>
        </w:rPr>
        <w:t>PM should assist in ascertaining whether the product enters the EU market on the same day, the supply chain role of IEI/ODM/OEM clients/branders/importers/dealers, customer support windows, support periods, and the suitability of the CRA; if t</w:t>
      </w:r>
      <w:r>
        <w:rPr>
          <w:sz w:val="21"/>
        </w:rPr>
        <w:t>he information is not complete, the known information and uncertainty should be provided and the main case of Jira should be kept up to date.</w:t>
      </w:r>
    </w:p>
    <w:p w14:paraId="58154E23" w14:textId="77777777" w:rsidR="00F10BCA" w:rsidRDefault="00BD0B01">
      <w:pPr>
        <w:pStyle w:val="af"/>
      </w:pPr>
      <w:r>
        <w:rPr>
          <w:sz w:val="21"/>
        </w:rPr>
        <w:t>若</w:t>
      </w:r>
      <w:r>
        <w:rPr>
          <w:sz w:val="21"/>
        </w:rPr>
        <w:t xml:space="preserve"> IEI </w:t>
      </w:r>
      <w:r>
        <w:rPr>
          <w:sz w:val="21"/>
        </w:rPr>
        <w:t>不是該產品於</w:t>
      </w:r>
      <w:r>
        <w:rPr>
          <w:sz w:val="21"/>
        </w:rPr>
        <w:t xml:space="preserve"> EU </w:t>
      </w:r>
      <w:r>
        <w:rPr>
          <w:sz w:val="21"/>
        </w:rPr>
        <w:t>市場之第一線</w:t>
      </w:r>
      <w:r>
        <w:rPr>
          <w:sz w:val="21"/>
        </w:rPr>
        <w:t xml:space="preserve"> CRA </w:t>
      </w:r>
      <w:r>
        <w:rPr>
          <w:sz w:val="21"/>
        </w:rPr>
        <w:t>通報責任人，但</w:t>
      </w:r>
      <w:r>
        <w:rPr>
          <w:sz w:val="21"/>
        </w:rPr>
        <w:t xml:space="preserve"> IEI </w:t>
      </w:r>
      <w:r>
        <w:rPr>
          <w:sz w:val="21"/>
        </w:rPr>
        <w:t>合理知悉</w:t>
      </w:r>
      <w:r>
        <w:rPr>
          <w:sz w:val="21"/>
        </w:rPr>
        <w:t xml:space="preserve"> ODM/OEM </w:t>
      </w:r>
      <w:r>
        <w:rPr>
          <w:sz w:val="21"/>
        </w:rPr>
        <w:t>客戶、品牌客戶、進口商或經銷商可能承擔</w:t>
      </w:r>
      <w:r>
        <w:rPr>
          <w:sz w:val="21"/>
        </w:rPr>
        <w:t xml:space="preserve"> CRA Article 14 </w:t>
      </w:r>
      <w:r>
        <w:rPr>
          <w:sz w:val="21"/>
        </w:rPr>
        <w:t>通報義務，</w:t>
      </w:r>
      <w:r>
        <w:rPr>
          <w:sz w:val="21"/>
        </w:rPr>
        <w:t xml:space="preserve">PSIRT </w:t>
      </w:r>
      <w:r>
        <w:rPr>
          <w:sz w:val="21"/>
        </w:rPr>
        <w:t>應於同日啟動客戶通報支援流程，提</w:t>
      </w:r>
      <w:r>
        <w:rPr>
          <w:sz w:val="21"/>
        </w:rPr>
        <w:t>供足以支持客戶</w:t>
      </w:r>
      <w:r>
        <w:rPr>
          <w:sz w:val="21"/>
        </w:rPr>
        <w:t xml:space="preserve"> early warning </w:t>
      </w:r>
      <w:r>
        <w:rPr>
          <w:sz w:val="21"/>
        </w:rPr>
        <w:t>與</w:t>
      </w:r>
      <w:r>
        <w:rPr>
          <w:sz w:val="21"/>
        </w:rPr>
        <w:t xml:space="preserve"> 72 </w:t>
      </w:r>
      <w:r>
        <w:rPr>
          <w:sz w:val="21"/>
        </w:rPr>
        <w:t>小時</w:t>
      </w:r>
      <w:r>
        <w:rPr>
          <w:sz w:val="21"/>
        </w:rPr>
        <w:t xml:space="preserve"> notification </w:t>
      </w:r>
      <w:r>
        <w:rPr>
          <w:sz w:val="21"/>
        </w:rPr>
        <w:t>之最小必要資訊，包括受影響產品</w:t>
      </w:r>
      <w:r>
        <w:rPr>
          <w:sz w:val="21"/>
        </w:rPr>
        <w:t>/</w:t>
      </w:r>
      <w:r>
        <w:rPr>
          <w:sz w:val="21"/>
        </w:rPr>
        <w:t>版本、弱點或事件摘要、</w:t>
      </w:r>
      <w:r>
        <w:rPr>
          <w:sz w:val="21"/>
        </w:rPr>
        <w:t>Exploitation Status</w:t>
      </w:r>
      <w:r>
        <w:rPr>
          <w:sz w:val="21"/>
        </w:rPr>
        <w:t>、已知影響、</w:t>
      </w:r>
      <w:proofErr w:type="gramStart"/>
      <w:r>
        <w:rPr>
          <w:sz w:val="21"/>
        </w:rPr>
        <w:t>已知緩解</w:t>
      </w:r>
      <w:proofErr w:type="gramEnd"/>
      <w:r>
        <w:rPr>
          <w:sz w:val="21"/>
        </w:rPr>
        <w:t>措施、資訊敏感度與後續更新時點。</w:t>
      </w:r>
    </w:p>
    <w:p w14:paraId="44638CD3" w14:textId="77777777" w:rsidR="00F10BCA" w:rsidRDefault="00BD0B01">
      <w:pPr>
        <w:pStyle w:val="BodyEN"/>
      </w:pPr>
      <w:r>
        <w:rPr>
          <w:sz w:val="21"/>
        </w:rPr>
        <w:t>If IEI is not the first-line CRA reporter on the EU market, but IEI has reasonable knowledge that ODM/OEM clients, brand customers, importer</w:t>
      </w:r>
      <w:r>
        <w:rPr>
          <w:sz w:val="21"/>
        </w:rPr>
        <w:t>s or distributors may be responsible for CRA Article 14 reporting obligations, PSIRT should initiate a customer call support process on the same day to provide the minimum information necessary to support clients with an affected product/version, weak or e</w:t>
      </w:r>
      <w:r>
        <w:rPr>
          <w:sz w:val="21"/>
        </w:rPr>
        <w:t>vent summary, Exposition Status, known impact, known mitigation measures, information sensitivity and subsequent updates.</w:t>
      </w:r>
    </w:p>
    <w:p w14:paraId="3A1E5B03" w14:textId="77777777" w:rsidR="00F10BCA" w:rsidRDefault="00BD0B01">
      <w:pPr>
        <w:pStyle w:val="af"/>
      </w:pPr>
      <w:r>
        <w:rPr>
          <w:sz w:val="21"/>
        </w:rPr>
        <w:t xml:space="preserve">E3 </w:t>
      </w:r>
      <w:r>
        <w:rPr>
          <w:sz w:val="21"/>
        </w:rPr>
        <w:t>或嚴重事件之</w:t>
      </w:r>
      <w:r>
        <w:rPr>
          <w:sz w:val="21"/>
        </w:rPr>
        <w:t xml:space="preserve"> IEI SRP </w:t>
      </w:r>
      <w:r>
        <w:rPr>
          <w:sz w:val="21"/>
        </w:rPr>
        <w:t>通報或客戶通報支援，不得因等待</w:t>
      </w:r>
      <w:r>
        <w:rPr>
          <w:sz w:val="21"/>
        </w:rPr>
        <w:t xml:space="preserve"> PM </w:t>
      </w:r>
      <w:r>
        <w:rPr>
          <w:sz w:val="21"/>
        </w:rPr>
        <w:t>完整資訊、</w:t>
      </w:r>
      <w:r>
        <w:rPr>
          <w:sz w:val="21"/>
        </w:rPr>
        <w:t xml:space="preserve">PCC </w:t>
      </w:r>
      <w:r>
        <w:rPr>
          <w:sz w:val="21"/>
        </w:rPr>
        <w:t>完整會議、修補</w:t>
      </w:r>
      <w:r>
        <w:rPr>
          <w:sz w:val="21"/>
        </w:rPr>
        <w:t>/</w:t>
      </w:r>
      <w:r>
        <w:rPr>
          <w:sz w:val="21"/>
        </w:rPr>
        <w:t>緩解規劃完成、公告草稿定稿或對外揭露策略確認而延後。</w:t>
      </w:r>
    </w:p>
    <w:p w14:paraId="39964C32" w14:textId="77777777" w:rsidR="00F10BCA" w:rsidRDefault="00BD0B01">
      <w:pPr>
        <w:pStyle w:val="BodyEN"/>
      </w:pPr>
      <w:r>
        <w:rPr>
          <w:sz w:val="21"/>
        </w:rPr>
        <w:t xml:space="preserve">E3 or IEI SRP for serious events, or client </w:t>
      </w:r>
      <w:r>
        <w:rPr>
          <w:sz w:val="21"/>
        </w:rPr>
        <w:t>support, may not be delayed pending the completion of a complete PM information, a full PCC meeting, a repair/relaxion plan, the finalization of a draft bulletin or confirmation of an external disclosure strategy.</w:t>
      </w:r>
    </w:p>
    <w:p w14:paraId="55F5E64A" w14:textId="77777777" w:rsidR="00F10BCA" w:rsidRDefault="00BD0B01">
      <w:pPr>
        <w:pStyle w:val="af"/>
      </w:pPr>
      <w:r>
        <w:rPr>
          <w:sz w:val="21"/>
        </w:rPr>
        <w:t>若</w:t>
      </w:r>
      <w:r>
        <w:rPr>
          <w:sz w:val="21"/>
        </w:rPr>
        <w:t xml:space="preserve"> ENISA SRP</w:t>
      </w:r>
      <w:r>
        <w:rPr>
          <w:sz w:val="21"/>
        </w:rPr>
        <w:t>、官方</w:t>
      </w:r>
      <w:r>
        <w:rPr>
          <w:sz w:val="21"/>
        </w:rPr>
        <w:t xml:space="preserve"> CERT/CSIRT</w:t>
      </w:r>
      <w:r>
        <w:rPr>
          <w:sz w:val="21"/>
        </w:rPr>
        <w:t>、協調者或客戶通報之案件經查核確認</w:t>
      </w:r>
      <w:r>
        <w:rPr>
          <w:sz w:val="21"/>
        </w:rPr>
        <w:t>不影響</w:t>
      </w:r>
      <w:r>
        <w:rPr>
          <w:sz w:val="21"/>
        </w:rPr>
        <w:t xml:space="preserve"> IEI </w:t>
      </w:r>
      <w:r>
        <w:rPr>
          <w:sz w:val="21"/>
        </w:rPr>
        <w:t>產品、非</w:t>
      </w:r>
      <w:r>
        <w:rPr>
          <w:sz w:val="21"/>
        </w:rPr>
        <w:t xml:space="preserve"> IEI </w:t>
      </w:r>
      <w:r>
        <w:rPr>
          <w:sz w:val="21"/>
        </w:rPr>
        <w:t>產品或不屬</w:t>
      </w:r>
      <w:r>
        <w:rPr>
          <w:sz w:val="21"/>
        </w:rPr>
        <w:t xml:space="preserve"> IEI CRA / </w:t>
      </w:r>
      <w:r>
        <w:rPr>
          <w:sz w:val="21"/>
        </w:rPr>
        <w:t>供應鏈責任範圍，</w:t>
      </w:r>
      <w:r>
        <w:rPr>
          <w:sz w:val="21"/>
        </w:rPr>
        <w:t xml:space="preserve">PSIRT </w:t>
      </w:r>
      <w:r>
        <w:rPr>
          <w:sz w:val="21"/>
        </w:rPr>
        <w:t>應在法</w:t>
      </w:r>
      <w:proofErr w:type="gramStart"/>
      <w:r>
        <w:rPr>
          <w:sz w:val="21"/>
        </w:rPr>
        <w:t>遵</w:t>
      </w:r>
      <w:proofErr w:type="gramEnd"/>
      <w:r>
        <w:rPr>
          <w:sz w:val="21"/>
        </w:rPr>
        <w:t>/</w:t>
      </w:r>
      <w:r>
        <w:rPr>
          <w:sz w:val="21"/>
        </w:rPr>
        <w:t>法務支援下，依案件來源與平台機制，透過</w:t>
      </w:r>
      <w:r>
        <w:rPr>
          <w:sz w:val="21"/>
        </w:rPr>
        <w:t xml:space="preserve"> SRP</w:t>
      </w:r>
      <w:r>
        <w:rPr>
          <w:sz w:val="21"/>
        </w:rPr>
        <w:t>、</w:t>
      </w:r>
      <w:r>
        <w:rPr>
          <w:sz w:val="21"/>
        </w:rPr>
        <w:lastRenderedPageBreak/>
        <w:t>designated CSIRT coordinator</w:t>
      </w:r>
      <w:r>
        <w:rPr>
          <w:sz w:val="21"/>
        </w:rPr>
        <w:t>、</w:t>
      </w:r>
      <w:r>
        <w:rPr>
          <w:sz w:val="21"/>
        </w:rPr>
        <w:t xml:space="preserve">ENISA </w:t>
      </w:r>
      <w:r>
        <w:rPr>
          <w:sz w:val="21"/>
        </w:rPr>
        <w:t>或原官方</w:t>
      </w:r>
      <w:r>
        <w:rPr>
          <w:sz w:val="21"/>
        </w:rPr>
        <w:t>/</w:t>
      </w:r>
      <w:r>
        <w:rPr>
          <w:sz w:val="21"/>
        </w:rPr>
        <w:t>協調者窗口完成</w:t>
      </w:r>
      <w:r>
        <w:rPr>
          <w:sz w:val="21"/>
        </w:rPr>
        <w:t xml:space="preserve"> no-impact / not-applicable </w:t>
      </w:r>
      <w:r>
        <w:rPr>
          <w:sz w:val="21"/>
        </w:rPr>
        <w:t>回覆。回覆至少應說明已完成查核、目前未識別出受影響</w:t>
      </w:r>
      <w:r>
        <w:rPr>
          <w:sz w:val="21"/>
        </w:rPr>
        <w:t xml:space="preserve"> IEI </w:t>
      </w:r>
      <w:r>
        <w:rPr>
          <w:sz w:val="21"/>
        </w:rPr>
        <w:t>產品、目前不觸發</w:t>
      </w:r>
      <w:r>
        <w:rPr>
          <w:sz w:val="21"/>
        </w:rPr>
        <w:t xml:space="preserve"> IEI CRA Article 14 </w:t>
      </w:r>
      <w:r>
        <w:rPr>
          <w:sz w:val="21"/>
        </w:rPr>
        <w:t>通報義務，並保留後續取得新證據時重新評估與更新之空間。此類回覆不等同於</w:t>
      </w:r>
      <w:r>
        <w:rPr>
          <w:sz w:val="21"/>
        </w:rPr>
        <w:t xml:space="preserve"> IEI </w:t>
      </w:r>
      <w:r>
        <w:rPr>
          <w:sz w:val="21"/>
        </w:rPr>
        <w:t>主動</w:t>
      </w:r>
      <w:r>
        <w:rPr>
          <w:sz w:val="21"/>
        </w:rPr>
        <w:t xml:space="preserve"> CRA </w:t>
      </w:r>
      <w:r>
        <w:rPr>
          <w:sz w:val="21"/>
        </w:rPr>
        <w:t xml:space="preserve">Article 14 </w:t>
      </w:r>
      <w:r>
        <w:rPr>
          <w:sz w:val="21"/>
        </w:rPr>
        <w:t>通報，但應作為</w:t>
      </w:r>
      <w:r>
        <w:rPr>
          <w:sz w:val="21"/>
        </w:rPr>
        <w:t xml:space="preserve"> CRA </w:t>
      </w:r>
      <w:r>
        <w:rPr>
          <w:sz w:val="21"/>
        </w:rPr>
        <w:t>相關案件留痕保存。</w:t>
      </w:r>
    </w:p>
    <w:p w14:paraId="559093B3" w14:textId="77777777" w:rsidR="00F10BCA" w:rsidRDefault="00BD0B01">
      <w:pPr>
        <w:pStyle w:val="BodyEN"/>
      </w:pPr>
      <w:r>
        <w:rPr>
          <w:sz w:val="21"/>
        </w:rPr>
        <w:t>If ENISA SRP, official CERTT/CSIRT, facilitators or clients report a case that has been verified as not affecting IEI products, non-IEI products or not falling within IEI CRA/ supply chain liability, PSIRT, with the support</w:t>
      </w:r>
      <w:r>
        <w:rPr>
          <w:sz w:val="21"/>
        </w:rPr>
        <w:t xml:space="preserve"> of law enforcement/legal, should complete its response through SRP, designed CSIRT coordinator, ENISA, or the official/coordination window. The response should at least state that the verification has been completed, that the affected IEI products are not</w:t>
      </w:r>
      <w:r>
        <w:rPr>
          <w:sz w:val="21"/>
        </w:rPr>
        <w:t xml:space="preserve"> currently identified, that the IEI CRA Article 14 report obligations are not activated, and that there is room for re-evaluation and updating when new evidence is subsequently obtained. This type of response is not the same as the IEI's primary CRA Articl</w:t>
      </w:r>
      <w:r>
        <w:rPr>
          <w:sz w:val="21"/>
        </w:rPr>
        <w:t>e 14 report, but should be preserved as a CRA case.</w:t>
      </w:r>
    </w:p>
    <w:p w14:paraId="267F2CAB" w14:textId="77777777" w:rsidR="00F10BCA" w:rsidRDefault="00BD0B01">
      <w:pPr>
        <w:pStyle w:val="af"/>
      </w:pPr>
      <w:r>
        <w:rPr>
          <w:sz w:val="21"/>
        </w:rPr>
        <w:t>若</w:t>
      </w:r>
      <w:r>
        <w:rPr>
          <w:sz w:val="21"/>
        </w:rPr>
        <w:t xml:space="preserve"> IEI </w:t>
      </w:r>
      <w:r>
        <w:rPr>
          <w:sz w:val="21"/>
        </w:rPr>
        <w:t>在</w:t>
      </w:r>
      <w:r>
        <w:rPr>
          <w:sz w:val="21"/>
        </w:rPr>
        <w:t xml:space="preserve"> EU </w:t>
      </w:r>
      <w:r>
        <w:rPr>
          <w:sz w:val="21"/>
        </w:rPr>
        <w:t>之主要設立地、授權代表或</w:t>
      </w:r>
      <w:r>
        <w:rPr>
          <w:sz w:val="21"/>
        </w:rPr>
        <w:t xml:space="preserve"> CSIRT </w:t>
      </w:r>
      <w:proofErr w:type="gramStart"/>
      <w:r>
        <w:rPr>
          <w:sz w:val="21"/>
        </w:rPr>
        <w:t>對口尚未</w:t>
      </w:r>
      <w:proofErr w:type="gramEnd"/>
      <w:r>
        <w:rPr>
          <w:sz w:val="21"/>
        </w:rPr>
        <w:t>明確，應於程序正式生效前完成指定；</w:t>
      </w:r>
      <w:r>
        <w:rPr>
          <w:sz w:val="21"/>
        </w:rPr>
        <w:t xml:space="preserve">ODM/OEM </w:t>
      </w:r>
      <w:r>
        <w:rPr>
          <w:sz w:val="21"/>
        </w:rPr>
        <w:t>或客戶品牌案件亦應於</w:t>
      </w:r>
      <w:r>
        <w:rPr>
          <w:sz w:val="21"/>
        </w:rPr>
        <w:t xml:space="preserve"> L3 </w:t>
      </w:r>
      <w:r>
        <w:rPr>
          <w:sz w:val="21"/>
        </w:rPr>
        <w:t>或客戶清單中維護必要之客戶法</w:t>
      </w:r>
      <w:proofErr w:type="gramStart"/>
      <w:r>
        <w:rPr>
          <w:sz w:val="21"/>
        </w:rPr>
        <w:t>遵</w:t>
      </w:r>
      <w:proofErr w:type="gramEnd"/>
      <w:r>
        <w:rPr>
          <w:sz w:val="21"/>
        </w:rPr>
        <w:t>、</w:t>
      </w:r>
      <w:r>
        <w:rPr>
          <w:sz w:val="21"/>
        </w:rPr>
        <w:t xml:space="preserve">PSIRT </w:t>
      </w:r>
      <w:r>
        <w:rPr>
          <w:sz w:val="21"/>
        </w:rPr>
        <w:t>或安全通報窗口。</w:t>
      </w:r>
    </w:p>
    <w:p w14:paraId="77E17283" w14:textId="77777777" w:rsidR="00F10BCA" w:rsidRDefault="00BD0B01">
      <w:pPr>
        <w:pStyle w:val="BodyEN"/>
      </w:pPr>
      <w:r>
        <w:rPr>
          <w:sz w:val="21"/>
        </w:rPr>
        <w:t>If the IEI's main location, authorized representative or CSIRT interface is not yet clear, the desig</w:t>
      </w:r>
      <w:r>
        <w:rPr>
          <w:sz w:val="21"/>
        </w:rPr>
        <w:t>nation should be completed before the procedure enters into force; the ODM/OEM or customer brand case should also maintain the necessary client compliance, PSIRT or security information window in the L3 or client list.</w:t>
      </w:r>
    </w:p>
    <w:p w14:paraId="1EF2F5FE" w14:textId="77777777" w:rsidR="00F10BCA" w:rsidRDefault="00BD0B01">
      <w:pPr>
        <w:pStyle w:val="H2"/>
      </w:pPr>
      <w:r>
        <w:rPr>
          <w:sz w:val="21"/>
        </w:rPr>
        <w:t xml:space="preserve">7.10 </w:t>
      </w:r>
      <w:r>
        <w:rPr>
          <w:sz w:val="21"/>
        </w:rPr>
        <w:t>結案與持續改善</w:t>
      </w:r>
      <w:r>
        <w:rPr>
          <w:sz w:val="21"/>
        </w:rPr>
        <w:t xml:space="preserve"> Closure and Continuous I</w:t>
      </w:r>
      <w:r>
        <w:rPr>
          <w:sz w:val="21"/>
        </w:rPr>
        <w:t>mprovement</w:t>
      </w:r>
    </w:p>
    <w:p w14:paraId="69D3C20D" w14:textId="77777777" w:rsidR="00F10BCA" w:rsidRDefault="00BD0B01">
      <w:pPr>
        <w:pStyle w:val="H2EN"/>
      </w:pPr>
      <w:r>
        <w:rPr>
          <w:sz w:val="21"/>
        </w:rPr>
        <w:t>7.10 Closure and Continual Improvement</w:t>
      </w:r>
    </w:p>
    <w:p w14:paraId="7BC85013" w14:textId="77777777" w:rsidR="00F10BCA" w:rsidRDefault="00BD0B01">
      <w:pPr>
        <w:pStyle w:val="af"/>
      </w:pPr>
      <w:r>
        <w:rPr>
          <w:sz w:val="21"/>
        </w:rPr>
        <w:t>案件結案前，</w:t>
      </w:r>
      <w:r>
        <w:rPr>
          <w:sz w:val="21"/>
        </w:rPr>
        <w:t xml:space="preserve">PSIRT </w:t>
      </w:r>
      <w:r>
        <w:rPr>
          <w:sz w:val="21"/>
        </w:rPr>
        <w:t>應確認：</w:t>
      </w:r>
    </w:p>
    <w:p w14:paraId="4EB4E38F" w14:textId="77777777" w:rsidR="00F10BCA" w:rsidRDefault="00BD0B01">
      <w:pPr>
        <w:pStyle w:val="BodyEN"/>
      </w:pPr>
      <w:r>
        <w:rPr>
          <w:sz w:val="21"/>
        </w:rPr>
        <w:t xml:space="preserve">Before the case is closed, PSIRT should confirm: </w:t>
      </w:r>
    </w:p>
    <w:p w14:paraId="0C8ACC21" w14:textId="77777777" w:rsidR="00F10BCA" w:rsidRDefault="00BD0B01">
      <w:pPr>
        <w:pStyle w:val="af"/>
      </w:pPr>
      <w:r>
        <w:rPr>
          <w:sz w:val="21"/>
        </w:rPr>
        <w:t>技術處置已完成或有正式風險接受決議</w:t>
      </w:r>
    </w:p>
    <w:p w14:paraId="43C5C609" w14:textId="77777777" w:rsidR="00F10BCA" w:rsidRDefault="00BD0B01">
      <w:pPr>
        <w:pStyle w:val="BodyEN"/>
      </w:pPr>
      <w:r>
        <w:rPr>
          <w:sz w:val="21"/>
        </w:rPr>
        <w:t>Technical Services accepts a decision that is either completed or formally risky.</w:t>
      </w:r>
    </w:p>
    <w:p w14:paraId="154B1C04" w14:textId="77777777" w:rsidR="00F10BCA" w:rsidRDefault="00BD0B01">
      <w:pPr>
        <w:pStyle w:val="af"/>
      </w:pPr>
      <w:r>
        <w:rPr>
          <w:sz w:val="21"/>
        </w:rPr>
        <w:t>研究員、客戶、供應商與其他應通知對象已完成必要溝通</w:t>
      </w:r>
    </w:p>
    <w:p w14:paraId="7D7E89A2" w14:textId="77777777" w:rsidR="00F10BCA" w:rsidRDefault="00BD0B01">
      <w:pPr>
        <w:pStyle w:val="BodyEN"/>
      </w:pPr>
      <w:r>
        <w:rPr>
          <w:sz w:val="21"/>
        </w:rPr>
        <w:t>Researcher, c</w:t>
      </w:r>
      <w:r>
        <w:rPr>
          <w:sz w:val="21"/>
        </w:rPr>
        <w:t>lient, supplier and other responders have completed the necessary communication.</w:t>
      </w:r>
    </w:p>
    <w:p w14:paraId="7A73174A" w14:textId="77777777" w:rsidR="00F10BCA" w:rsidRDefault="00BD0B01">
      <w:pPr>
        <w:pStyle w:val="af"/>
      </w:pPr>
      <w:r>
        <w:rPr>
          <w:sz w:val="21"/>
        </w:rPr>
        <w:t xml:space="preserve">Jira </w:t>
      </w:r>
      <w:r>
        <w:rPr>
          <w:sz w:val="21"/>
        </w:rPr>
        <w:t>記錄、附件、決策、公告與通知證據完整</w:t>
      </w:r>
    </w:p>
    <w:p w14:paraId="2C51736F" w14:textId="77777777" w:rsidR="00F10BCA" w:rsidRDefault="00BD0B01">
      <w:pPr>
        <w:pStyle w:val="BodyEN"/>
      </w:pPr>
      <w:r>
        <w:rPr>
          <w:sz w:val="21"/>
        </w:rPr>
        <w:t>Jira, complete record, attachment, decision, announcement and notification evidence</w:t>
      </w:r>
    </w:p>
    <w:p w14:paraId="4BC64569" w14:textId="77777777" w:rsidR="00F10BCA" w:rsidRDefault="00BD0B01">
      <w:pPr>
        <w:pStyle w:val="af"/>
      </w:pPr>
      <w:r>
        <w:rPr>
          <w:sz w:val="21"/>
        </w:rPr>
        <w:t>後續追蹤事項已移轉至維護或產品路線圖</w:t>
      </w:r>
    </w:p>
    <w:p w14:paraId="1061B00E" w14:textId="77777777" w:rsidR="00F10BCA" w:rsidRDefault="00BD0B01">
      <w:pPr>
        <w:pStyle w:val="BodyEN"/>
      </w:pPr>
      <w:r>
        <w:rPr>
          <w:sz w:val="21"/>
        </w:rPr>
        <w:t>Subsequent tracking has been moved to maintenanc</w:t>
      </w:r>
      <w:r>
        <w:rPr>
          <w:sz w:val="21"/>
        </w:rPr>
        <w:t>e or product route Chart</w:t>
      </w:r>
    </w:p>
    <w:p w14:paraId="0EABB393" w14:textId="77777777" w:rsidR="00F10BCA" w:rsidRDefault="00BD0B01">
      <w:pPr>
        <w:pStyle w:val="af"/>
      </w:pPr>
      <w:r>
        <w:rPr>
          <w:sz w:val="21"/>
        </w:rPr>
        <w:t>修補或緩解措施發布後，</w:t>
      </w:r>
      <w:r>
        <w:rPr>
          <w:sz w:val="21"/>
        </w:rPr>
        <w:t xml:space="preserve">PSIRT </w:t>
      </w:r>
      <w:r>
        <w:rPr>
          <w:sz w:val="21"/>
        </w:rPr>
        <w:t>應依風險執行</w:t>
      </w:r>
      <w:r>
        <w:rPr>
          <w:sz w:val="21"/>
        </w:rPr>
        <w:t xml:space="preserve"> post-release remediation monitoring</w:t>
      </w:r>
      <w:r>
        <w:rPr>
          <w:sz w:val="21"/>
        </w:rPr>
        <w:t>，追蹤更新分發狀態、客戶套用問題、修補失敗、相容性問題、再發通報、攻擊活動變化與是否需要再公告或補充通知。</w:t>
      </w:r>
    </w:p>
    <w:p w14:paraId="6C14C180" w14:textId="77777777" w:rsidR="00F10BCA" w:rsidRDefault="00BD0B01">
      <w:pPr>
        <w:pStyle w:val="BodyEN"/>
      </w:pPr>
      <w:r>
        <w:rPr>
          <w:sz w:val="21"/>
        </w:rPr>
        <w:t>PSIRT is expected to implement post-release response monitoring, tracking updates on distribution, client use problems</w:t>
      </w:r>
      <w:r>
        <w:rPr>
          <w:sz w:val="21"/>
        </w:rPr>
        <w:t>, patchwork failures, compatibility issues, re-transmissions, changes in attacks and the need for further announcements or additional notifications.</w:t>
      </w:r>
    </w:p>
    <w:p w14:paraId="7350470E" w14:textId="77777777" w:rsidR="00F10BCA" w:rsidRDefault="00BD0B01">
      <w:pPr>
        <w:pStyle w:val="af"/>
      </w:pPr>
      <w:r>
        <w:rPr>
          <w:sz w:val="21"/>
        </w:rPr>
        <w:t xml:space="preserve">SPMO </w:t>
      </w:r>
      <w:r>
        <w:rPr>
          <w:sz w:val="21"/>
        </w:rPr>
        <w:t>或指定治理單位應定期召集</w:t>
      </w:r>
      <w:r>
        <w:rPr>
          <w:sz w:val="21"/>
        </w:rPr>
        <w:t xml:space="preserve"> PSIRT </w:t>
      </w:r>
      <w:r>
        <w:rPr>
          <w:sz w:val="21"/>
        </w:rPr>
        <w:t>檢討案件處理成效、瓶頸與改善措施。</w:t>
      </w:r>
    </w:p>
    <w:p w14:paraId="69C2D227" w14:textId="77777777" w:rsidR="00F10BCA" w:rsidRDefault="00BD0B01">
      <w:pPr>
        <w:pStyle w:val="BodyEN"/>
      </w:pPr>
      <w:r>
        <w:rPr>
          <w:sz w:val="21"/>
        </w:rPr>
        <w:t>SPMO or designated governance units should regularly call PSIRT t</w:t>
      </w:r>
      <w:r>
        <w:rPr>
          <w:sz w:val="21"/>
        </w:rPr>
        <w:t>o examine the effectiveness of case handling, bottled necks and improvements.</w:t>
      </w:r>
    </w:p>
    <w:p w14:paraId="72051BEC" w14:textId="77777777" w:rsidR="00F10BCA" w:rsidRDefault="00BD0B01">
      <w:pPr>
        <w:pStyle w:val="af"/>
      </w:pPr>
      <w:r>
        <w:rPr>
          <w:sz w:val="21"/>
        </w:rPr>
        <w:t>若結案後仍有產品改善、版本維護、</w:t>
      </w:r>
      <w:r>
        <w:rPr>
          <w:sz w:val="21"/>
        </w:rPr>
        <w:t xml:space="preserve">EOL/EOS </w:t>
      </w:r>
      <w:r>
        <w:rPr>
          <w:sz w:val="21"/>
        </w:rPr>
        <w:t>調整、客戶承諾、下一版修補或安全需求事項，</w:t>
      </w:r>
      <w:r>
        <w:rPr>
          <w:sz w:val="21"/>
        </w:rPr>
        <w:t xml:space="preserve">PM </w:t>
      </w:r>
      <w:r>
        <w:rPr>
          <w:sz w:val="21"/>
        </w:rPr>
        <w:t>應負責追蹤其納入產品</w:t>
      </w:r>
      <w:r>
        <w:rPr>
          <w:sz w:val="21"/>
        </w:rPr>
        <w:t xml:space="preserve"> roadmap</w:t>
      </w:r>
      <w:r>
        <w:rPr>
          <w:sz w:val="21"/>
        </w:rPr>
        <w:t>、維護計畫或正式風險接受紀錄。</w:t>
      </w:r>
    </w:p>
    <w:p w14:paraId="490D334E" w14:textId="77777777" w:rsidR="00F10BCA" w:rsidRDefault="00BD0B01">
      <w:pPr>
        <w:pStyle w:val="BodyEN"/>
      </w:pPr>
      <w:r>
        <w:rPr>
          <w:sz w:val="21"/>
        </w:rPr>
        <w:lastRenderedPageBreak/>
        <w:t>If there are still improvements to the product, version maintenance, EOL/EOS adjustments, client</w:t>
      </w:r>
      <w:r>
        <w:rPr>
          <w:sz w:val="21"/>
        </w:rPr>
        <w:t xml:space="preserve"> promises, next editions of fixes or security requirements after the case is closed, PM should be responsible for tracking the receipt of products radmap, maintenance programs or official risk acceptance records.</w:t>
      </w:r>
    </w:p>
    <w:p w14:paraId="1A7619DF" w14:textId="77777777" w:rsidR="00F10BCA" w:rsidRDefault="00BD0B01">
      <w:pPr>
        <w:pStyle w:val="H1"/>
      </w:pPr>
      <w:r>
        <w:rPr>
          <w:sz w:val="21"/>
        </w:rPr>
        <w:t xml:space="preserve">8. </w:t>
      </w:r>
      <w:r>
        <w:rPr>
          <w:sz w:val="21"/>
        </w:rPr>
        <w:t>對外溝通政策</w:t>
      </w:r>
      <w:r>
        <w:rPr>
          <w:sz w:val="21"/>
        </w:rPr>
        <w:t xml:space="preserve"> External Communication Policy</w:t>
      </w:r>
    </w:p>
    <w:p w14:paraId="3FCB2E05" w14:textId="77777777" w:rsidR="00F10BCA" w:rsidRDefault="00BD0B01">
      <w:pPr>
        <w:pStyle w:val="H1EN"/>
      </w:pPr>
      <w:r>
        <w:rPr>
          <w:sz w:val="21"/>
        </w:rPr>
        <w:t xml:space="preserve">8. </w:t>
      </w:r>
      <w:r>
        <w:rPr>
          <w:sz w:val="21"/>
        </w:rPr>
        <w:t>External Communication Policy</w:t>
      </w:r>
    </w:p>
    <w:p w14:paraId="70B13D85" w14:textId="77777777" w:rsidR="00F10BCA" w:rsidRDefault="00BD0B01">
      <w:pPr>
        <w:pStyle w:val="H2"/>
      </w:pPr>
      <w:r>
        <w:rPr>
          <w:sz w:val="21"/>
        </w:rPr>
        <w:t xml:space="preserve">8.1 </w:t>
      </w:r>
      <w:r>
        <w:rPr>
          <w:sz w:val="21"/>
        </w:rPr>
        <w:t>對外窗口與通道</w:t>
      </w:r>
    </w:p>
    <w:p w14:paraId="5A921100" w14:textId="77777777" w:rsidR="00F10BCA" w:rsidRDefault="00BD0B01">
      <w:pPr>
        <w:pStyle w:val="H2EN"/>
      </w:pPr>
      <w:r>
        <w:rPr>
          <w:sz w:val="21"/>
        </w:rPr>
        <w:t>8.1 External Contact Points and Channels</w:t>
      </w:r>
    </w:p>
    <w:p w14:paraId="30A3063E" w14:textId="77777777" w:rsidR="00F10BCA" w:rsidRDefault="00BD0B01">
      <w:pPr>
        <w:pStyle w:val="af"/>
      </w:pPr>
      <w:r>
        <w:rPr>
          <w:sz w:val="21"/>
        </w:rPr>
        <w:t>主要通報窗口：</w:t>
      </w:r>
      <w:r>
        <w:rPr>
          <w:sz w:val="21"/>
        </w:rPr>
        <w:t>`security@ieiworld.com</w:t>
      </w:r>
    </w:p>
    <w:p w14:paraId="793338CF" w14:textId="77777777" w:rsidR="00F10BCA" w:rsidRDefault="00BD0B01">
      <w:pPr>
        <w:pStyle w:val="BodyEN"/>
      </w:pPr>
      <w:r>
        <w:rPr>
          <w:sz w:val="21"/>
        </w:rPr>
        <w:t>Main Reporting Window: security@ieiworld.com</w:t>
      </w:r>
    </w:p>
    <w:p w14:paraId="3D17578F" w14:textId="77777777" w:rsidR="00F10BCA" w:rsidRDefault="00BD0B01">
      <w:pPr>
        <w:pStyle w:val="af"/>
      </w:pPr>
      <w:r>
        <w:rPr>
          <w:sz w:val="21"/>
        </w:rPr>
        <w:t>加密方式：</w:t>
      </w:r>
      <w:r>
        <w:rPr>
          <w:sz w:val="21"/>
        </w:rPr>
        <w:t xml:space="preserve">PGP </w:t>
      </w:r>
      <w:r>
        <w:rPr>
          <w:sz w:val="21"/>
        </w:rPr>
        <w:t>或經核准</w:t>
      </w:r>
      <w:proofErr w:type="gramStart"/>
      <w:r>
        <w:rPr>
          <w:sz w:val="21"/>
        </w:rPr>
        <w:t>之等效保密</w:t>
      </w:r>
      <w:proofErr w:type="gramEnd"/>
      <w:r>
        <w:rPr>
          <w:sz w:val="21"/>
        </w:rPr>
        <w:t>機制</w:t>
      </w:r>
    </w:p>
    <w:p w14:paraId="4386D441" w14:textId="77777777" w:rsidR="00F10BCA" w:rsidRDefault="00BD0B01">
      <w:pPr>
        <w:pStyle w:val="BodyEN"/>
      </w:pPr>
      <w:r>
        <w:rPr>
          <w:sz w:val="21"/>
        </w:rPr>
        <w:t>Encryption: PGP or Equivalent Confidentiality Scheme</w:t>
      </w:r>
    </w:p>
    <w:p w14:paraId="26898A25" w14:textId="77777777" w:rsidR="00F10BCA" w:rsidRDefault="00BD0B01">
      <w:pPr>
        <w:pStyle w:val="af"/>
      </w:pPr>
      <w:r>
        <w:rPr>
          <w:sz w:val="21"/>
        </w:rPr>
        <w:t>公開公告頁面：</w:t>
      </w:r>
      <w:r>
        <w:rPr>
          <w:sz w:val="21"/>
        </w:rPr>
        <w:t>`https://www.ieiworld.com/security-advisories</w:t>
      </w:r>
    </w:p>
    <w:p w14:paraId="058580B1" w14:textId="77777777" w:rsidR="00F10BCA" w:rsidRDefault="00BD0B01">
      <w:pPr>
        <w:pStyle w:val="BodyEN"/>
      </w:pPr>
      <w:r>
        <w:rPr>
          <w:sz w:val="21"/>
        </w:rPr>
        <w:t>Public Bulletin Page: https://www.ieiworld.com/security-advisories</w:t>
      </w:r>
    </w:p>
    <w:p w14:paraId="6DA6B235" w14:textId="77777777" w:rsidR="00F10BCA" w:rsidRDefault="00BD0B01">
      <w:pPr>
        <w:pStyle w:val="af"/>
      </w:pPr>
      <w:r>
        <w:rPr>
          <w:sz w:val="21"/>
        </w:rPr>
        <w:t>其他可能通道：網站表單、</w:t>
      </w:r>
      <w:r>
        <w:rPr>
          <w:sz w:val="21"/>
        </w:rPr>
        <w:t>`/.well-known/security.txt`</w:t>
      </w:r>
      <w:r>
        <w:rPr>
          <w:sz w:val="21"/>
        </w:rPr>
        <w:t>、</w:t>
      </w:r>
      <w:r>
        <w:rPr>
          <w:sz w:val="21"/>
        </w:rPr>
        <w:t xml:space="preserve">bug bounty </w:t>
      </w:r>
      <w:r>
        <w:rPr>
          <w:sz w:val="21"/>
        </w:rPr>
        <w:t>平台、客</w:t>
      </w:r>
      <w:proofErr w:type="gramStart"/>
      <w:r>
        <w:rPr>
          <w:sz w:val="21"/>
        </w:rPr>
        <w:t>服轉件</w:t>
      </w:r>
      <w:proofErr w:type="gramEnd"/>
      <w:r>
        <w:rPr>
          <w:sz w:val="21"/>
        </w:rPr>
        <w:t>、供應商通報、</w:t>
      </w:r>
      <w:r>
        <w:rPr>
          <w:sz w:val="21"/>
        </w:rPr>
        <w:t xml:space="preserve">CERT/CSIRT </w:t>
      </w:r>
      <w:r>
        <w:rPr>
          <w:sz w:val="21"/>
        </w:rPr>
        <w:t>協調</w:t>
      </w:r>
    </w:p>
    <w:p w14:paraId="2F0F8607" w14:textId="77777777" w:rsidR="00F10BCA" w:rsidRDefault="00BD0B01">
      <w:pPr>
        <w:pStyle w:val="BodyEN"/>
      </w:pPr>
      <w:r>
        <w:rPr>
          <w:sz w:val="21"/>
        </w:rPr>
        <w:t>Other possible routes: Website forms, `.well-known/securi</w:t>
      </w:r>
      <w:r>
        <w:rPr>
          <w:sz w:val="21"/>
        </w:rPr>
        <w:t xml:space="preserve">ty.txt </w:t>
      </w:r>
      <w:proofErr w:type="gramStart"/>
      <w:r>
        <w:rPr>
          <w:sz w:val="21"/>
        </w:rPr>
        <w:t>' ,</w:t>
      </w:r>
      <w:proofErr w:type="gramEnd"/>
      <w:r>
        <w:rPr>
          <w:sz w:val="21"/>
        </w:rPr>
        <w:t xml:space="preserve"> bug bounty platform, customer transfer, supplier information, CERT/CSIRT coordination</w:t>
      </w:r>
    </w:p>
    <w:p w14:paraId="01958E3E" w14:textId="77777777" w:rsidR="00F10BCA" w:rsidRDefault="00BD0B01">
      <w:pPr>
        <w:pStyle w:val="H2"/>
      </w:pPr>
      <w:r>
        <w:rPr>
          <w:sz w:val="21"/>
        </w:rPr>
        <w:t xml:space="preserve">8.2 </w:t>
      </w:r>
      <w:r>
        <w:rPr>
          <w:sz w:val="21"/>
        </w:rPr>
        <w:t>時限政策</w:t>
      </w:r>
    </w:p>
    <w:p w14:paraId="617E8FE0" w14:textId="77777777" w:rsidR="00F10BCA" w:rsidRDefault="00BD0B01">
      <w:pPr>
        <w:pStyle w:val="H2EN"/>
      </w:pPr>
      <w:r>
        <w:rPr>
          <w:sz w:val="21"/>
        </w:rPr>
        <w:t>8.2 Timeline Policy</w:t>
      </w:r>
    </w:p>
    <w:tbl>
      <w:tblPr>
        <w:tblStyle w:val="a7"/>
        <w:tblW w:w="0" w:type="auto"/>
        <w:tblLook w:val="04A0" w:firstRow="1" w:lastRow="0" w:firstColumn="1" w:lastColumn="0" w:noHBand="0" w:noVBand="1"/>
      </w:tblPr>
      <w:tblGrid>
        <w:gridCol w:w="3485"/>
        <w:gridCol w:w="3486"/>
        <w:gridCol w:w="3485"/>
      </w:tblGrid>
      <w:tr w:rsidR="00F10BCA" w14:paraId="0DBE2753" w14:textId="77777777">
        <w:tc>
          <w:tcPr>
            <w:tcW w:w="3489" w:type="dxa"/>
          </w:tcPr>
          <w:p w14:paraId="4F627CC9" w14:textId="77777777" w:rsidR="00F10BCA" w:rsidRDefault="00BD0B01">
            <w:r>
              <w:rPr>
                <w:b/>
              </w:rPr>
              <w:t>對象</w:t>
            </w:r>
            <w:r>
              <w:rPr>
                <w:b/>
              </w:rPr>
              <w:t>/</w:t>
            </w:r>
            <w:r>
              <w:rPr>
                <w:b/>
              </w:rPr>
              <w:t>階段</w:t>
            </w:r>
          </w:p>
          <w:p w14:paraId="105A0C5B" w14:textId="77777777" w:rsidR="00F10BCA" w:rsidRDefault="00BD0B01">
            <w:r>
              <w:t>Organisation</w:t>
            </w:r>
          </w:p>
        </w:tc>
        <w:tc>
          <w:tcPr>
            <w:tcW w:w="3489" w:type="dxa"/>
          </w:tcPr>
          <w:p w14:paraId="6998B0A9" w14:textId="77777777" w:rsidR="00F10BCA" w:rsidRDefault="00BD0B01">
            <w:r>
              <w:rPr>
                <w:b/>
              </w:rPr>
              <w:t>時限</w:t>
            </w:r>
          </w:p>
          <w:p w14:paraId="21BE26AD" w14:textId="77777777" w:rsidR="00F10BCA" w:rsidRDefault="00BD0B01">
            <w:r>
              <w:t>Time</w:t>
            </w:r>
          </w:p>
        </w:tc>
        <w:tc>
          <w:tcPr>
            <w:tcW w:w="3489" w:type="dxa"/>
          </w:tcPr>
          <w:p w14:paraId="16DE882D" w14:textId="77777777" w:rsidR="00F10BCA" w:rsidRDefault="00BD0B01">
            <w:r>
              <w:rPr>
                <w:b/>
              </w:rPr>
              <w:t>說明</w:t>
            </w:r>
          </w:p>
          <w:p w14:paraId="721AEB34" w14:textId="77777777" w:rsidR="00F10BCA" w:rsidRDefault="00BD0B01">
            <w:r>
              <w:t>Help</w:t>
            </w:r>
          </w:p>
        </w:tc>
      </w:tr>
      <w:tr w:rsidR="00F10BCA" w14:paraId="2DB8DBBC" w14:textId="77777777">
        <w:tc>
          <w:tcPr>
            <w:tcW w:w="3489" w:type="dxa"/>
          </w:tcPr>
          <w:p w14:paraId="52F75153" w14:textId="77777777" w:rsidR="00F10BCA" w:rsidRDefault="00BD0B01">
            <w:r>
              <w:t>自動案件編號回覆</w:t>
            </w:r>
          </w:p>
          <w:p w14:paraId="74F7C380" w14:textId="77777777" w:rsidR="00F10BCA" w:rsidRDefault="00BD0B01">
            <w:r>
              <w:t>Automatic case number reply</w:t>
            </w:r>
          </w:p>
        </w:tc>
        <w:tc>
          <w:tcPr>
            <w:tcW w:w="3489" w:type="dxa"/>
          </w:tcPr>
          <w:p w14:paraId="60140A59" w14:textId="77777777" w:rsidR="00F10BCA" w:rsidRDefault="00BD0B01">
            <w:r>
              <w:t>即時</w:t>
            </w:r>
          </w:p>
          <w:p w14:paraId="7BDDD41E" w14:textId="77777777" w:rsidR="00F10BCA" w:rsidRDefault="00BD0B01">
            <w:r>
              <w:t>Immediate</w:t>
            </w:r>
          </w:p>
        </w:tc>
        <w:tc>
          <w:tcPr>
            <w:tcW w:w="3489" w:type="dxa"/>
          </w:tcPr>
          <w:p w14:paraId="081F704C" w14:textId="77777777" w:rsidR="00F10BCA" w:rsidRDefault="00BD0B01">
            <w:r>
              <w:t>適用於具自動回覆之正式通道</w:t>
            </w:r>
          </w:p>
          <w:p w14:paraId="3923CE94" w14:textId="77777777" w:rsidR="00F10BCA" w:rsidRDefault="00BD0B01">
            <w:r>
              <w:t>Appropriate for official chann</w:t>
            </w:r>
            <w:r>
              <w:t>els with automatic responses</w:t>
            </w:r>
          </w:p>
        </w:tc>
      </w:tr>
      <w:tr w:rsidR="00F10BCA" w14:paraId="72754D0A" w14:textId="77777777">
        <w:tc>
          <w:tcPr>
            <w:tcW w:w="3489" w:type="dxa"/>
          </w:tcPr>
          <w:p w14:paraId="27D27837" w14:textId="77777777" w:rsidR="00F10BCA" w:rsidRDefault="00BD0B01">
            <w:r>
              <w:t>人工回覆</w:t>
            </w:r>
          </w:p>
          <w:p w14:paraId="505AA34E" w14:textId="77777777" w:rsidR="00F10BCA" w:rsidRDefault="00BD0B01">
            <w:r>
              <w:t>Manual Response</w:t>
            </w:r>
          </w:p>
        </w:tc>
        <w:tc>
          <w:tcPr>
            <w:tcW w:w="3489" w:type="dxa"/>
          </w:tcPr>
          <w:p w14:paraId="4037D28F" w14:textId="77777777" w:rsidR="00F10BCA" w:rsidRDefault="00BD0B01">
            <w:r>
              <w:t xml:space="preserve">3 </w:t>
            </w:r>
            <w:proofErr w:type="gramStart"/>
            <w:r>
              <w:t>個</w:t>
            </w:r>
            <w:proofErr w:type="gramEnd"/>
            <w:r>
              <w:t>工作日內</w:t>
            </w:r>
          </w:p>
          <w:p w14:paraId="38958F04" w14:textId="77777777" w:rsidR="00F10BCA" w:rsidRDefault="00BD0B01">
            <w:r>
              <w:t>3 working days</w:t>
            </w:r>
          </w:p>
        </w:tc>
        <w:tc>
          <w:tcPr>
            <w:tcW w:w="3489" w:type="dxa"/>
          </w:tcPr>
          <w:p w14:paraId="5C9C68D7" w14:textId="77777777" w:rsidR="00F10BCA" w:rsidRDefault="00BD0B01">
            <w:r>
              <w:t>通道無自動回覆時適用</w:t>
            </w:r>
          </w:p>
          <w:p w14:paraId="776ED885" w14:textId="77777777" w:rsidR="00F10BCA" w:rsidRDefault="00BD0B01">
            <w:r>
              <w:t>Channels appropriate when no automatic reply</w:t>
            </w:r>
          </w:p>
        </w:tc>
      </w:tr>
      <w:tr w:rsidR="00F10BCA" w14:paraId="3997E8AD" w14:textId="77777777">
        <w:tc>
          <w:tcPr>
            <w:tcW w:w="3489" w:type="dxa"/>
          </w:tcPr>
          <w:p w14:paraId="19197A09" w14:textId="77777777" w:rsidR="00F10BCA" w:rsidRDefault="00BD0B01">
            <w:r>
              <w:t>啟動分析</w:t>
            </w:r>
          </w:p>
          <w:p w14:paraId="016B796D" w14:textId="77777777" w:rsidR="00F10BCA" w:rsidRDefault="00BD0B01">
            <w:r>
              <w:t>Start analysis.</w:t>
            </w:r>
          </w:p>
        </w:tc>
        <w:tc>
          <w:tcPr>
            <w:tcW w:w="3489" w:type="dxa"/>
          </w:tcPr>
          <w:p w14:paraId="131DE906" w14:textId="77777777" w:rsidR="00F10BCA" w:rsidRDefault="00BD0B01">
            <w:r>
              <w:t>收件後</w:t>
            </w:r>
            <w:r>
              <w:t xml:space="preserve"> 7 </w:t>
            </w:r>
            <w:r>
              <w:t>日內</w:t>
            </w:r>
          </w:p>
          <w:p w14:paraId="7D8134EA" w14:textId="77777777" w:rsidR="00F10BCA" w:rsidRDefault="00BD0B01">
            <w:r>
              <w:t>Within 7 days of receipt</w:t>
            </w:r>
          </w:p>
        </w:tc>
        <w:tc>
          <w:tcPr>
            <w:tcW w:w="3489" w:type="dxa"/>
          </w:tcPr>
          <w:p w14:paraId="60D7E104" w14:textId="77777777" w:rsidR="00F10BCA" w:rsidRDefault="00BD0B01">
            <w:r>
              <w:t>依</w:t>
            </w:r>
            <w:r>
              <w:t xml:space="preserve"> IEI </w:t>
            </w:r>
            <w:r>
              <w:t>現行公開政策</w:t>
            </w:r>
          </w:p>
          <w:p w14:paraId="54E03D2E" w14:textId="77777777" w:rsidR="00F10BCA" w:rsidRDefault="00BD0B01">
            <w:r>
              <w:t>According to IEI, public policy</w:t>
            </w:r>
          </w:p>
        </w:tc>
      </w:tr>
      <w:tr w:rsidR="00F10BCA" w14:paraId="3545D0D2" w14:textId="77777777">
        <w:tc>
          <w:tcPr>
            <w:tcW w:w="3489" w:type="dxa"/>
          </w:tcPr>
          <w:p w14:paraId="13C5FBF5" w14:textId="77777777" w:rsidR="00F10BCA" w:rsidRDefault="00BD0B01">
            <w:r>
              <w:t>是否受理通知</w:t>
            </w:r>
          </w:p>
          <w:p w14:paraId="2D5FA7F1" w14:textId="77777777" w:rsidR="00F10BCA" w:rsidRDefault="00BD0B01">
            <w:r>
              <w:t>Admissibility notification</w:t>
            </w:r>
          </w:p>
        </w:tc>
        <w:tc>
          <w:tcPr>
            <w:tcW w:w="3489" w:type="dxa"/>
          </w:tcPr>
          <w:p w14:paraId="49BA9C65" w14:textId="77777777" w:rsidR="00F10BCA" w:rsidRDefault="00BD0B01">
            <w:r>
              <w:t>啟動分析後</w:t>
            </w:r>
            <w:r>
              <w:t xml:space="preserve"> 14 </w:t>
            </w:r>
            <w:r>
              <w:t>日內</w:t>
            </w:r>
          </w:p>
          <w:p w14:paraId="170EB259" w14:textId="77777777" w:rsidR="00F10BCA" w:rsidRDefault="00BD0B01">
            <w:r>
              <w:t>14 days after starting analysis</w:t>
            </w:r>
          </w:p>
        </w:tc>
        <w:tc>
          <w:tcPr>
            <w:tcW w:w="3489" w:type="dxa"/>
          </w:tcPr>
          <w:p w14:paraId="29DCCA23" w14:textId="77777777" w:rsidR="00F10BCA" w:rsidRDefault="00BD0B01">
            <w:r>
              <w:t>可為受理、不受理或補件</w:t>
            </w:r>
          </w:p>
          <w:p w14:paraId="16437756" w14:textId="77777777" w:rsidR="00F10BCA" w:rsidRDefault="00BD0B01">
            <w:r>
              <w:t>Admissibility, inadmissibility or compensation</w:t>
            </w:r>
          </w:p>
        </w:tc>
      </w:tr>
      <w:tr w:rsidR="00F10BCA" w14:paraId="13A60E6D" w14:textId="77777777">
        <w:tc>
          <w:tcPr>
            <w:tcW w:w="3489" w:type="dxa"/>
          </w:tcPr>
          <w:p w14:paraId="5268D311" w14:textId="77777777" w:rsidR="00F10BCA" w:rsidRDefault="00BD0B01">
            <w:r>
              <w:t>適用於</w:t>
            </w:r>
            <w:r>
              <w:t xml:space="preserve"> CRA / </w:t>
            </w:r>
            <w:r>
              <w:t>已知遭利用</w:t>
            </w:r>
            <w:r>
              <w:t xml:space="preserve"> / </w:t>
            </w:r>
            <w:r>
              <w:t>安全或營運高衝擊案件</w:t>
            </w:r>
            <w:r>
              <w:t>(</w:t>
            </w:r>
            <w:r>
              <w:t>即</w:t>
            </w:r>
            <w:r>
              <w:t xml:space="preserve">E3/E2 </w:t>
            </w:r>
            <w:r>
              <w:t>事件</w:t>
            </w:r>
            <w:r>
              <w:t>)</w:t>
            </w:r>
          </w:p>
          <w:p w14:paraId="1A7617A8" w14:textId="77777777" w:rsidR="00F10BCA" w:rsidRDefault="00BD0B01">
            <w:r>
              <w:t>Apply to CRA / Known Use / Safety or Operation High Impact cases (</w:t>
            </w:r>
            <w:proofErr w:type="gramStart"/>
            <w:r>
              <w:t>i.e.</w:t>
            </w:r>
            <w:proofErr w:type="gramEnd"/>
            <w:r>
              <w:t xml:space="preserve"> E3/ E2 events)</w:t>
            </w:r>
          </w:p>
        </w:tc>
        <w:tc>
          <w:tcPr>
            <w:tcW w:w="3489" w:type="dxa"/>
          </w:tcPr>
          <w:p w14:paraId="3F7651C3" w14:textId="77777777" w:rsidR="00F10BCA" w:rsidRDefault="00BD0B01">
            <w:r>
              <w:t>收件確認：</w:t>
            </w:r>
            <w:r>
              <w:t xml:space="preserve">24 </w:t>
            </w:r>
            <w:r>
              <w:t>小時內，初步分流</w:t>
            </w:r>
            <w:r>
              <w:t>/</w:t>
            </w:r>
            <w:r>
              <w:t>可重現性判斷：</w:t>
            </w:r>
            <w:r>
              <w:t xml:space="preserve">1~3 </w:t>
            </w:r>
            <w:proofErr w:type="gramStart"/>
            <w:r>
              <w:t>個</w:t>
            </w:r>
            <w:proofErr w:type="gramEnd"/>
            <w:r>
              <w:t>工作日，狀態更新：每</w:t>
            </w:r>
            <w:r>
              <w:t xml:space="preserve"> 1~3 </w:t>
            </w:r>
            <w:proofErr w:type="gramStart"/>
            <w:r>
              <w:t>個</w:t>
            </w:r>
            <w:proofErr w:type="gramEnd"/>
            <w:r>
              <w:t>工作日一次</w:t>
            </w:r>
          </w:p>
          <w:p w14:paraId="392B757D" w14:textId="77777777" w:rsidR="00F10BCA" w:rsidRDefault="00BD0B01">
            <w:r>
              <w:t xml:space="preserve">Incoming confirmation: Within 24 hours, initial </w:t>
            </w:r>
            <w:r>
              <w:lastRenderedPageBreak/>
              <w:t>diversion/renewable judgment: 1 to 3 working days, status update: 1 to 3 working days</w:t>
            </w:r>
          </w:p>
        </w:tc>
        <w:tc>
          <w:tcPr>
            <w:tcW w:w="3489" w:type="dxa"/>
          </w:tcPr>
          <w:p w14:paraId="53471978" w14:textId="77777777" w:rsidR="00F10BCA" w:rsidRDefault="00BD0B01">
            <w:r>
              <w:lastRenderedPageBreak/>
              <w:t>直到修補或暫時緩解就緒</w:t>
            </w:r>
          </w:p>
          <w:p w14:paraId="69A9015C" w14:textId="77777777" w:rsidR="00F10BCA" w:rsidRDefault="00BD0B01">
            <w:r>
              <w:t>Until we fix or slow down.</w:t>
            </w:r>
          </w:p>
        </w:tc>
      </w:tr>
      <w:tr w:rsidR="00F10BCA" w14:paraId="77B58A5E" w14:textId="77777777">
        <w:tc>
          <w:tcPr>
            <w:tcW w:w="3489" w:type="dxa"/>
          </w:tcPr>
          <w:p w14:paraId="64842391" w14:textId="77777777" w:rsidR="00F10BCA" w:rsidRDefault="00BD0B01">
            <w:r>
              <w:t xml:space="preserve">Critical </w:t>
            </w:r>
            <w:r>
              <w:t>案件狀態更新</w:t>
            </w:r>
          </w:p>
          <w:p w14:paraId="3C5565D1" w14:textId="77777777" w:rsidR="00F10BCA" w:rsidRDefault="00BD0B01">
            <w:r>
              <w:t>Critical Case Update</w:t>
            </w:r>
          </w:p>
        </w:tc>
        <w:tc>
          <w:tcPr>
            <w:tcW w:w="3489" w:type="dxa"/>
          </w:tcPr>
          <w:p w14:paraId="332FCB3C" w14:textId="77777777" w:rsidR="00F10BCA" w:rsidRDefault="00BD0B01">
            <w:r>
              <w:t>收件確認：</w:t>
            </w:r>
            <w:r>
              <w:t xml:space="preserve">1 </w:t>
            </w:r>
            <w:proofErr w:type="gramStart"/>
            <w:r>
              <w:t>個</w:t>
            </w:r>
            <w:proofErr w:type="gramEnd"/>
            <w:r>
              <w:t>工作日內，初步判斷：</w:t>
            </w:r>
            <w:r>
              <w:t xml:space="preserve">3~5 </w:t>
            </w:r>
            <w:proofErr w:type="gramStart"/>
            <w:r>
              <w:t>個</w:t>
            </w:r>
            <w:proofErr w:type="gramEnd"/>
            <w:r>
              <w:t>工作日，狀態更新：每</w:t>
            </w:r>
            <w:r>
              <w:t xml:space="preserve"> 5 </w:t>
            </w:r>
            <w:proofErr w:type="gramStart"/>
            <w:r>
              <w:t>個</w:t>
            </w:r>
            <w:proofErr w:type="gramEnd"/>
            <w:r>
              <w:t>工作日一次</w:t>
            </w:r>
          </w:p>
          <w:p w14:paraId="4B947B23" w14:textId="77777777" w:rsidR="00F10BCA" w:rsidRDefault="00BD0B01">
            <w:r>
              <w:t>Incoming confirmation: 1 working day, preliminary determination: 3-5 working days, status update: 1 per 5 working days</w:t>
            </w:r>
          </w:p>
        </w:tc>
        <w:tc>
          <w:tcPr>
            <w:tcW w:w="3489" w:type="dxa"/>
          </w:tcPr>
          <w:p w14:paraId="1A44CC5A" w14:textId="77777777" w:rsidR="00F10BCA" w:rsidRDefault="00BD0B01">
            <w:r>
              <w:t>直到修補或暫時緩解就緒</w:t>
            </w:r>
          </w:p>
          <w:p w14:paraId="5C605BFB" w14:textId="77777777" w:rsidR="00F10BCA" w:rsidRDefault="00BD0B01">
            <w:r>
              <w:t>Until we fix or slow down.</w:t>
            </w:r>
          </w:p>
        </w:tc>
      </w:tr>
      <w:tr w:rsidR="00F10BCA" w14:paraId="1F9C3DBD" w14:textId="77777777">
        <w:tc>
          <w:tcPr>
            <w:tcW w:w="3489" w:type="dxa"/>
          </w:tcPr>
          <w:p w14:paraId="0A8A1E5B" w14:textId="77777777" w:rsidR="00F10BCA" w:rsidRDefault="00BD0B01">
            <w:r>
              <w:t>其他案件狀態更新</w:t>
            </w:r>
          </w:p>
          <w:p w14:paraId="6FBB333E" w14:textId="77777777" w:rsidR="00F10BCA" w:rsidRDefault="00BD0B01">
            <w:r>
              <w:t xml:space="preserve">Update on other </w:t>
            </w:r>
            <w:r>
              <w:t>cases</w:t>
            </w:r>
          </w:p>
        </w:tc>
        <w:tc>
          <w:tcPr>
            <w:tcW w:w="3489" w:type="dxa"/>
          </w:tcPr>
          <w:p w14:paraId="7BA9B579" w14:textId="77777777" w:rsidR="00F10BCA" w:rsidRDefault="00BD0B01">
            <w:r>
              <w:t>收件確認：</w:t>
            </w:r>
            <w:r>
              <w:t xml:space="preserve">3 </w:t>
            </w:r>
            <w:proofErr w:type="gramStart"/>
            <w:r>
              <w:t>個</w:t>
            </w:r>
            <w:proofErr w:type="gramEnd"/>
            <w:r>
              <w:t>工作日內，狀態更新：每</w:t>
            </w:r>
            <w:r>
              <w:t xml:space="preserve"> 5 </w:t>
            </w:r>
            <w:proofErr w:type="gramStart"/>
            <w:r>
              <w:t>個</w:t>
            </w:r>
            <w:proofErr w:type="gramEnd"/>
            <w:r>
              <w:t>工作日一次</w:t>
            </w:r>
          </w:p>
          <w:p w14:paraId="38A3EF26" w14:textId="77777777" w:rsidR="00F10BCA" w:rsidRDefault="00BD0B01">
            <w:r>
              <w:t>Incoming confirmation: 3 working days, status update: once every 5 working days</w:t>
            </w:r>
          </w:p>
        </w:tc>
        <w:tc>
          <w:tcPr>
            <w:tcW w:w="3489" w:type="dxa"/>
          </w:tcPr>
          <w:p w14:paraId="041A58F4" w14:textId="77777777" w:rsidR="00F10BCA" w:rsidRDefault="00BD0B01">
            <w:r>
              <w:t>避免</w:t>
            </w:r>
            <w:proofErr w:type="gramStart"/>
            <w:r>
              <w:t>通報人失聯</w:t>
            </w:r>
            <w:proofErr w:type="gramEnd"/>
            <w:r>
              <w:t>或誤判狀態</w:t>
            </w:r>
          </w:p>
          <w:p w14:paraId="01D33B72" w14:textId="77777777" w:rsidR="00F10BCA" w:rsidRDefault="00BD0B01">
            <w:r>
              <w:t>To avoid any loss of contact or miscalculation.</w:t>
            </w:r>
          </w:p>
        </w:tc>
      </w:tr>
    </w:tbl>
    <w:p w14:paraId="47F92D6A" w14:textId="77777777" w:rsidR="00F10BCA" w:rsidRDefault="00BD0B01">
      <w:pPr>
        <w:pStyle w:val="H2"/>
      </w:pPr>
      <w:r>
        <w:rPr>
          <w:sz w:val="21"/>
        </w:rPr>
        <w:t xml:space="preserve">8.3 </w:t>
      </w:r>
      <w:r>
        <w:rPr>
          <w:sz w:val="21"/>
        </w:rPr>
        <w:t>對外訊息最小內容</w:t>
      </w:r>
    </w:p>
    <w:p w14:paraId="3D501D5D" w14:textId="77777777" w:rsidR="00F10BCA" w:rsidRDefault="00BD0B01">
      <w:pPr>
        <w:pStyle w:val="H2EN"/>
      </w:pPr>
      <w:r>
        <w:rPr>
          <w:sz w:val="21"/>
        </w:rPr>
        <w:t>8.3 Minimum External Message Content</w:t>
      </w:r>
    </w:p>
    <w:p w14:paraId="45835B2A" w14:textId="77777777" w:rsidR="00F10BCA" w:rsidRDefault="00BD0B01">
      <w:pPr>
        <w:pStyle w:val="H3"/>
      </w:pPr>
      <w:r>
        <w:rPr>
          <w:sz w:val="21"/>
        </w:rPr>
        <w:t xml:space="preserve">A. </w:t>
      </w:r>
      <w:r>
        <w:rPr>
          <w:sz w:val="21"/>
        </w:rPr>
        <w:t>對研究員或通報者</w:t>
      </w:r>
    </w:p>
    <w:p w14:paraId="5B4D470D" w14:textId="77777777" w:rsidR="00F10BCA" w:rsidRDefault="00BD0B01">
      <w:pPr>
        <w:pStyle w:val="H3EN"/>
      </w:pPr>
      <w:r>
        <w:rPr>
          <w:sz w:val="21"/>
        </w:rPr>
        <w:t>A. To researchers</w:t>
      </w:r>
      <w:r>
        <w:rPr>
          <w:sz w:val="21"/>
        </w:rPr>
        <w:t xml:space="preserve"> or informants</w:t>
      </w:r>
    </w:p>
    <w:p w14:paraId="3EABB409" w14:textId="77777777" w:rsidR="00F10BCA" w:rsidRDefault="00BD0B01">
      <w:pPr>
        <w:pStyle w:val="af"/>
      </w:pPr>
      <w:r>
        <w:rPr>
          <w:sz w:val="21"/>
        </w:rPr>
        <w:t>案件識別碼</w:t>
      </w:r>
    </w:p>
    <w:p w14:paraId="5C268FD7" w14:textId="77777777" w:rsidR="00F10BCA" w:rsidRDefault="00BD0B01">
      <w:pPr>
        <w:pStyle w:val="BodyEN"/>
      </w:pPr>
      <w:r>
        <w:rPr>
          <w:sz w:val="21"/>
        </w:rPr>
        <w:t>Case ID</w:t>
      </w:r>
    </w:p>
    <w:p w14:paraId="4E690B63" w14:textId="77777777" w:rsidR="00F10BCA" w:rsidRDefault="00BD0B01">
      <w:pPr>
        <w:pStyle w:val="af"/>
      </w:pPr>
      <w:r>
        <w:rPr>
          <w:sz w:val="21"/>
        </w:rPr>
        <w:t>是否已受理或需補件</w:t>
      </w:r>
    </w:p>
    <w:p w14:paraId="2EE6BE77" w14:textId="77777777" w:rsidR="00F10BCA" w:rsidRDefault="00BD0B01">
      <w:pPr>
        <w:pStyle w:val="BodyEN"/>
      </w:pPr>
      <w:r>
        <w:rPr>
          <w:sz w:val="21"/>
        </w:rPr>
        <w:t>Accepted or additional</w:t>
      </w:r>
    </w:p>
    <w:p w14:paraId="6525AB7A" w14:textId="77777777" w:rsidR="00F10BCA" w:rsidRDefault="00BD0B01">
      <w:pPr>
        <w:pStyle w:val="af"/>
      </w:pPr>
      <w:r>
        <w:rPr>
          <w:sz w:val="21"/>
        </w:rPr>
        <w:t>下一次更新時點</w:t>
      </w:r>
    </w:p>
    <w:p w14:paraId="713055C3" w14:textId="77777777" w:rsidR="00F10BCA" w:rsidRDefault="00BD0B01">
      <w:pPr>
        <w:pStyle w:val="BodyEN"/>
      </w:pPr>
      <w:r>
        <w:rPr>
          <w:sz w:val="21"/>
        </w:rPr>
        <w:t>Next Update</w:t>
      </w:r>
    </w:p>
    <w:p w14:paraId="66571000" w14:textId="77777777" w:rsidR="00F10BCA" w:rsidRDefault="00BD0B01">
      <w:pPr>
        <w:pStyle w:val="af"/>
      </w:pPr>
      <w:r>
        <w:rPr>
          <w:sz w:val="21"/>
        </w:rPr>
        <w:t>保密與協調揭露提醒</w:t>
      </w:r>
    </w:p>
    <w:p w14:paraId="350DBB13" w14:textId="77777777" w:rsidR="00F10BCA" w:rsidRDefault="00BD0B01">
      <w:pPr>
        <w:pStyle w:val="BodyEN"/>
      </w:pPr>
      <w:r>
        <w:rPr>
          <w:sz w:val="21"/>
        </w:rPr>
        <w:t>Confidentiality and coordination alerts</w:t>
      </w:r>
    </w:p>
    <w:p w14:paraId="6ACE9108" w14:textId="77777777" w:rsidR="00F10BCA" w:rsidRDefault="00BD0B01">
      <w:pPr>
        <w:pStyle w:val="af"/>
      </w:pPr>
      <w:r>
        <w:rPr>
          <w:sz w:val="21"/>
        </w:rPr>
        <w:t>必要時之致謝、認列或</w:t>
      </w:r>
      <w:r>
        <w:rPr>
          <w:sz w:val="21"/>
        </w:rPr>
        <w:t xml:space="preserve"> bounty </w:t>
      </w:r>
      <w:r>
        <w:rPr>
          <w:sz w:val="21"/>
        </w:rPr>
        <w:t>流程資訊</w:t>
      </w:r>
    </w:p>
    <w:p w14:paraId="119EC48A" w14:textId="77777777" w:rsidR="00F10BCA" w:rsidRDefault="00BD0B01">
      <w:pPr>
        <w:pStyle w:val="BodyEN"/>
      </w:pPr>
      <w:r>
        <w:rPr>
          <w:sz w:val="21"/>
        </w:rPr>
        <w:t>Acknowledgement, recognition or bounty process information when necessary</w:t>
      </w:r>
    </w:p>
    <w:p w14:paraId="12E69383" w14:textId="77777777" w:rsidR="00F10BCA" w:rsidRDefault="00BD0B01">
      <w:pPr>
        <w:pStyle w:val="H3"/>
      </w:pPr>
      <w:r>
        <w:rPr>
          <w:sz w:val="21"/>
        </w:rPr>
        <w:t xml:space="preserve">B. </w:t>
      </w:r>
      <w:r>
        <w:rPr>
          <w:sz w:val="21"/>
        </w:rPr>
        <w:t>對受影響客戶或</w:t>
      </w:r>
      <w:r>
        <w:rPr>
          <w:sz w:val="21"/>
        </w:rPr>
        <w:t xml:space="preserve"> ODM/OEM </w:t>
      </w:r>
      <w:r>
        <w:rPr>
          <w:sz w:val="21"/>
        </w:rPr>
        <w:t>客戶</w:t>
      </w:r>
    </w:p>
    <w:p w14:paraId="32B5D6F7" w14:textId="77777777" w:rsidR="00F10BCA" w:rsidRDefault="00BD0B01">
      <w:pPr>
        <w:pStyle w:val="H3EN"/>
      </w:pPr>
      <w:r>
        <w:rPr>
          <w:sz w:val="21"/>
        </w:rPr>
        <w:t xml:space="preserve">B. </w:t>
      </w:r>
      <w:r>
        <w:rPr>
          <w:sz w:val="21"/>
        </w:rPr>
        <w:t>To affected or ODM/OEM clients</w:t>
      </w:r>
    </w:p>
    <w:p w14:paraId="05049B6C" w14:textId="77777777" w:rsidR="00F10BCA" w:rsidRDefault="00BD0B01">
      <w:pPr>
        <w:pStyle w:val="af"/>
      </w:pPr>
      <w:r>
        <w:rPr>
          <w:sz w:val="21"/>
        </w:rPr>
        <w:t>受影響產品</w:t>
      </w:r>
      <w:r>
        <w:rPr>
          <w:sz w:val="21"/>
        </w:rPr>
        <w:t>/</w:t>
      </w:r>
      <w:r>
        <w:rPr>
          <w:sz w:val="21"/>
        </w:rPr>
        <w:t>版本</w:t>
      </w:r>
      <w:r>
        <w:rPr>
          <w:sz w:val="21"/>
        </w:rPr>
        <w:t>/</w:t>
      </w:r>
      <w:r>
        <w:rPr>
          <w:sz w:val="21"/>
        </w:rPr>
        <w:t>條件</w:t>
      </w:r>
    </w:p>
    <w:p w14:paraId="1CCB41F9" w14:textId="77777777" w:rsidR="00F10BCA" w:rsidRDefault="00BD0B01">
      <w:pPr>
        <w:pStyle w:val="BodyEN"/>
      </w:pPr>
      <w:r>
        <w:rPr>
          <w:sz w:val="21"/>
        </w:rPr>
        <w:t>Affected product/version/condition</w:t>
      </w:r>
    </w:p>
    <w:p w14:paraId="3CAEA8BA" w14:textId="77777777" w:rsidR="00F10BCA" w:rsidRDefault="00BD0B01">
      <w:pPr>
        <w:pStyle w:val="af"/>
      </w:pPr>
      <w:r>
        <w:rPr>
          <w:sz w:val="21"/>
        </w:rPr>
        <w:t>風險摘要與嚴重度</w:t>
      </w:r>
    </w:p>
    <w:p w14:paraId="138BB50D" w14:textId="77777777" w:rsidR="00F10BCA" w:rsidRDefault="00BD0B01">
      <w:pPr>
        <w:pStyle w:val="BodyEN"/>
      </w:pPr>
      <w:r>
        <w:rPr>
          <w:sz w:val="21"/>
        </w:rPr>
        <w:t>Risk summary and severity</w:t>
      </w:r>
    </w:p>
    <w:p w14:paraId="71AD6027" w14:textId="77777777" w:rsidR="00F10BCA" w:rsidRDefault="00BD0B01">
      <w:pPr>
        <w:pStyle w:val="af"/>
      </w:pPr>
      <w:r>
        <w:rPr>
          <w:sz w:val="21"/>
        </w:rPr>
        <w:t>可用修補、</w:t>
      </w:r>
      <w:r>
        <w:rPr>
          <w:sz w:val="21"/>
        </w:rPr>
        <w:t xml:space="preserve">workaround </w:t>
      </w:r>
      <w:r>
        <w:rPr>
          <w:sz w:val="21"/>
        </w:rPr>
        <w:t>或營運建議</w:t>
      </w:r>
    </w:p>
    <w:p w14:paraId="234EAD5C" w14:textId="77777777" w:rsidR="00F10BCA" w:rsidRDefault="00BD0B01">
      <w:pPr>
        <w:pStyle w:val="BodyEN"/>
      </w:pPr>
      <w:r>
        <w:rPr>
          <w:sz w:val="21"/>
        </w:rPr>
        <w:t>Available patches, workcasts, or business advice</w:t>
      </w:r>
    </w:p>
    <w:p w14:paraId="1C5D5932" w14:textId="77777777" w:rsidR="00F10BCA" w:rsidRDefault="00BD0B01">
      <w:pPr>
        <w:pStyle w:val="af"/>
      </w:pPr>
      <w:r>
        <w:rPr>
          <w:sz w:val="21"/>
        </w:rPr>
        <w:lastRenderedPageBreak/>
        <w:t>更新套用方式與注意事項</w:t>
      </w:r>
    </w:p>
    <w:p w14:paraId="4433A489" w14:textId="77777777" w:rsidR="00F10BCA" w:rsidRDefault="00BD0B01">
      <w:pPr>
        <w:pStyle w:val="BodyEN"/>
      </w:pPr>
      <w:r>
        <w:rPr>
          <w:sz w:val="21"/>
        </w:rPr>
        <w:t>Update application and attention</w:t>
      </w:r>
    </w:p>
    <w:p w14:paraId="0C3BFFA7" w14:textId="77777777" w:rsidR="00F10BCA" w:rsidRDefault="00BD0B01">
      <w:pPr>
        <w:pStyle w:val="af"/>
      </w:pPr>
      <w:r>
        <w:rPr>
          <w:sz w:val="21"/>
        </w:rPr>
        <w:t>若尚未有修補，應提供暫行性風險降低措施與下一次更新節點</w:t>
      </w:r>
    </w:p>
    <w:p w14:paraId="74CB6203" w14:textId="77777777" w:rsidR="00F10BCA" w:rsidRDefault="00BD0B01">
      <w:pPr>
        <w:pStyle w:val="BodyEN"/>
      </w:pPr>
      <w:r>
        <w:rPr>
          <w:sz w:val="21"/>
        </w:rPr>
        <w:t>Temporary risk reduction measures and next update should be provided if not already completed</w:t>
      </w:r>
    </w:p>
    <w:p w14:paraId="397BFDB5" w14:textId="77777777" w:rsidR="00F10BCA" w:rsidRDefault="00BD0B01">
      <w:pPr>
        <w:pStyle w:val="H3"/>
      </w:pPr>
      <w:r>
        <w:rPr>
          <w:sz w:val="21"/>
        </w:rPr>
        <w:t xml:space="preserve">C. </w:t>
      </w:r>
      <w:r>
        <w:rPr>
          <w:sz w:val="21"/>
        </w:rPr>
        <w:t>對供應商、合作夥伴或協調者</w:t>
      </w:r>
    </w:p>
    <w:p w14:paraId="64C0E2E4" w14:textId="77777777" w:rsidR="00F10BCA" w:rsidRDefault="00BD0B01">
      <w:pPr>
        <w:pStyle w:val="H3EN"/>
      </w:pPr>
      <w:r>
        <w:rPr>
          <w:sz w:val="21"/>
        </w:rPr>
        <w:t>C. To suppliers, partners or facilitators</w:t>
      </w:r>
    </w:p>
    <w:p w14:paraId="56CD325F" w14:textId="77777777" w:rsidR="00F10BCA" w:rsidRDefault="00BD0B01">
      <w:pPr>
        <w:pStyle w:val="af"/>
      </w:pPr>
      <w:r>
        <w:rPr>
          <w:sz w:val="21"/>
        </w:rPr>
        <w:t>完成協調所需之最小必要技術資訊</w:t>
      </w:r>
    </w:p>
    <w:p w14:paraId="191255C8" w14:textId="77777777" w:rsidR="00F10BCA" w:rsidRDefault="00BD0B01">
      <w:pPr>
        <w:pStyle w:val="BodyEN"/>
      </w:pPr>
      <w:r>
        <w:rPr>
          <w:sz w:val="21"/>
        </w:rPr>
        <w:t>Minimum necessary technical information to complete the coordination</w:t>
      </w:r>
    </w:p>
    <w:p w14:paraId="6F71A961" w14:textId="77777777" w:rsidR="00F10BCA" w:rsidRDefault="00BD0B01">
      <w:pPr>
        <w:pStyle w:val="af"/>
      </w:pPr>
      <w:r>
        <w:rPr>
          <w:sz w:val="21"/>
        </w:rPr>
        <w:t>時程、保密要求與同步公告規則</w:t>
      </w:r>
    </w:p>
    <w:p w14:paraId="767BD244" w14:textId="77777777" w:rsidR="00F10BCA" w:rsidRDefault="00BD0B01">
      <w:pPr>
        <w:pStyle w:val="BodyEN"/>
      </w:pPr>
      <w:r>
        <w:rPr>
          <w:sz w:val="21"/>
        </w:rPr>
        <w:t>Ti</w:t>
      </w:r>
      <w:r>
        <w:rPr>
          <w:sz w:val="21"/>
        </w:rPr>
        <w:t>mescale, confidentiality requirements and synchronized bulletins</w:t>
      </w:r>
    </w:p>
    <w:p w14:paraId="073E676E" w14:textId="77777777" w:rsidR="00F10BCA" w:rsidRDefault="00BD0B01">
      <w:pPr>
        <w:pStyle w:val="af"/>
      </w:pPr>
      <w:r>
        <w:rPr>
          <w:sz w:val="21"/>
        </w:rPr>
        <w:t>受影響範圍與交付依賴</w:t>
      </w:r>
    </w:p>
    <w:p w14:paraId="001289A8" w14:textId="77777777" w:rsidR="00F10BCA" w:rsidRDefault="00BD0B01">
      <w:pPr>
        <w:pStyle w:val="BodyEN"/>
      </w:pPr>
      <w:r>
        <w:rPr>
          <w:sz w:val="21"/>
        </w:rPr>
        <w:t>Scope affected and depend on delivery</w:t>
      </w:r>
    </w:p>
    <w:p w14:paraId="6237A954" w14:textId="77777777" w:rsidR="00F10BCA" w:rsidRDefault="00BD0B01">
      <w:pPr>
        <w:pStyle w:val="H3"/>
      </w:pPr>
      <w:r>
        <w:rPr>
          <w:sz w:val="21"/>
        </w:rPr>
        <w:t xml:space="preserve">D. </w:t>
      </w:r>
      <w:r>
        <w:rPr>
          <w:sz w:val="21"/>
        </w:rPr>
        <w:t>對公眾公告</w:t>
      </w:r>
    </w:p>
    <w:p w14:paraId="0C67D74F" w14:textId="77777777" w:rsidR="00F10BCA" w:rsidRDefault="00BD0B01">
      <w:pPr>
        <w:pStyle w:val="H3EN"/>
      </w:pPr>
      <w:r>
        <w:rPr>
          <w:sz w:val="21"/>
        </w:rPr>
        <w:t>Public announcement</w:t>
      </w:r>
    </w:p>
    <w:p w14:paraId="06BBA002" w14:textId="77777777" w:rsidR="00F10BCA" w:rsidRDefault="00BD0B01">
      <w:pPr>
        <w:pStyle w:val="Body"/>
      </w:pPr>
      <w:r>
        <w:rPr>
          <w:sz w:val="21"/>
        </w:rPr>
        <w:t>至少應包含：</w:t>
      </w:r>
    </w:p>
    <w:p w14:paraId="66F629F1" w14:textId="77777777" w:rsidR="00F10BCA" w:rsidRDefault="00BD0B01">
      <w:pPr>
        <w:pStyle w:val="BodyEN"/>
      </w:pPr>
      <w:r>
        <w:rPr>
          <w:sz w:val="21"/>
        </w:rPr>
        <w:t xml:space="preserve">Should contain at least: </w:t>
      </w:r>
    </w:p>
    <w:p w14:paraId="0CB3EBC1" w14:textId="77777777" w:rsidR="00F10BCA" w:rsidRDefault="00BD0B01">
      <w:pPr>
        <w:pStyle w:val="af"/>
      </w:pPr>
      <w:r>
        <w:rPr>
          <w:sz w:val="21"/>
        </w:rPr>
        <w:t>弱點描述</w:t>
      </w:r>
    </w:p>
    <w:p w14:paraId="6D67FF7C" w14:textId="77777777" w:rsidR="00F10BCA" w:rsidRDefault="00BD0B01">
      <w:pPr>
        <w:pStyle w:val="BodyEN"/>
      </w:pPr>
      <w:r>
        <w:rPr>
          <w:sz w:val="21"/>
        </w:rPr>
        <w:t>Weak Description</w:t>
      </w:r>
    </w:p>
    <w:p w14:paraId="49C136FA" w14:textId="77777777" w:rsidR="00F10BCA" w:rsidRDefault="00BD0B01">
      <w:pPr>
        <w:pStyle w:val="af"/>
      </w:pPr>
      <w:r>
        <w:rPr>
          <w:sz w:val="21"/>
        </w:rPr>
        <w:t>受影響產品與版本識別資訊</w:t>
      </w:r>
    </w:p>
    <w:p w14:paraId="1466E346" w14:textId="77777777" w:rsidR="00F10BCA" w:rsidRDefault="00BD0B01">
      <w:pPr>
        <w:pStyle w:val="BodyEN"/>
      </w:pPr>
      <w:r>
        <w:rPr>
          <w:sz w:val="21"/>
        </w:rPr>
        <w:t xml:space="preserve">Influenced product and version </w:t>
      </w:r>
      <w:r>
        <w:rPr>
          <w:sz w:val="21"/>
        </w:rPr>
        <w:t>recognition information</w:t>
      </w:r>
    </w:p>
    <w:p w14:paraId="4A29AEB9" w14:textId="77777777" w:rsidR="00F10BCA" w:rsidRDefault="00BD0B01">
      <w:pPr>
        <w:pStyle w:val="af"/>
      </w:pPr>
      <w:r>
        <w:rPr>
          <w:sz w:val="21"/>
        </w:rPr>
        <w:t>影響與嚴重度</w:t>
      </w:r>
    </w:p>
    <w:p w14:paraId="3C20D52F" w14:textId="77777777" w:rsidR="00F10BCA" w:rsidRDefault="00BD0B01">
      <w:pPr>
        <w:pStyle w:val="BodyEN"/>
      </w:pPr>
      <w:r>
        <w:rPr>
          <w:sz w:val="21"/>
        </w:rPr>
        <w:t>Impact and severity</w:t>
      </w:r>
    </w:p>
    <w:p w14:paraId="529F4E14" w14:textId="77777777" w:rsidR="00F10BCA" w:rsidRDefault="00BD0B01">
      <w:pPr>
        <w:pStyle w:val="af"/>
      </w:pPr>
      <w:r>
        <w:rPr>
          <w:sz w:val="21"/>
        </w:rPr>
        <w:t xml:space="preserve">CVE </w:t>
      </w:r>
      <w:r>
        <w:rPr>
          <w:sz w:val="21"/>
        </w:rPr>
        <w:t>或其他識別碼（如有）</w:t>
      </w:r>
    </w:p>
    <w:p w14:paraId="44834595" w14:textId="77777777" w:rsidR="00F10BCA" w:rsidRDefault="00BD0B01">
      <w:pPr>
        <w:pStyle w:val="BodyEN"/>
      </w:pPr>
      <w:r>
        <w:rPr>
          <w:sz w:val="21"/>
        </w:rPr>
        <w:t xml:space="preserve">CVE or </w:t>
      </w:r>
      <w:proofErr w:type="gramStart"/>
      <w:r>
        <w:rPr>
          <w:sz w:val="21"/>
        </w:rPr>
        <w:t>other</w:t>
      </w:r>
      <w:proofErr w:type="gramEnd"/>
      <w:r>
        <w:rPr>
          <w:sz w:val="21"/>
        </w:rPr>
        <w:t xml:space="preserve"> identifier (if any)</w:t>
      </w:r>
    </w:p>
    <w:p w14:paraId="7B1149AE" w14:textId="77777777" w:rsidR="00F10BCA" w:rsidRDefault="00BD0B01">
      <w:pPr>
        <w:pStyle w:val="af"/>
      </w:pPr>
      <w:r>
        <w:rPr>
          <w:sz w:val="21"/>
        </w:rPr>
        <w:t>修補</w:t>
      </w:r>
      <w:r>
        <w:rPr>
          <w:sz w:val="21"/>
        </w:rPr>
        <w:t>/</w:t>
      </w:r>
      <w:r>
        <w:rPr>
          <w:sz w:val="21"/>
        </w:rPr>
        <w:t>更新</w:t>
      </w:r>
      <w:r>
        <w:rPr>
          <w:sz w:val="21"/>
        </w:rPr>
        <w:t>/</w:t>
      </w:r>
      <w:r>
        <w:rPr>
          <w:sz w:val="21"/>
        </w:rPr>
        <w:t>緩解措施</w:t>
      </w:r>
    </w:p>
    <w:p w14:paraId="61448F45" w14:textId="77777777" w:rsidR="00F10BCA" w:rsidRDefault="00BD0B01">
      <w:pPr>
        <w:pStyle w:val="BodyEN"/>
      </w:pPr>
      <w:r>
        <w:rPr>
          <w:sz w:val="21"/>
        </w:rPr>
        <w:t>Repairs/updates/improvements</w:t>
      </w:r>
    </w:p>
    <w:p w14:paraId="1E393C09" w14:textId="77777777" w:rsidR="00F10BCA" w:rsidRDefault="00BD0B01">
      <w:pPr>
        <w:pStyle w:val="af"/>
      </w:pPr>
      <w:r>
        <w:rPr>
          <w:sz w:val="21"/>
        </w:rPr>
        <w:t>安裝與驗證方式摘要</w:t>
      </w:r>
    </w:p>
    <w:p w14:paraId="14C0E350" w14:textId="77777777" w:rsidR="00F10BCA" w:rsidRDefault="00BD0B01">
      <w:pPr>
        <w:pStyle w:val="BodyEN"/>
      </w:pPr>
      <w:r>
        <w:rPr>
          <w:sz w:val="21"/>
        </w:rPr>
        <w:t>Organisation</w:t>
      </w:r>
    </w:p>
    <w:p w14:paraId="46DD36D3" w14:textId="77777777" w:rsidR="00F10BCA" w:rsidRDefault="00BD0B01">
      <w:pPr>
        <w:pStyle w:val="af"/>
      </w:pPr>
      <w:r>
        <w:rPr>
          <w:sz w:val="21"/>
        </w:rPr>
        <w:t xml:space="preserve">EOS/EOL </w:t>
      </w:r>
      <w:r>
        <w:rPr>
          <w:sz w:val="21"/>
        </w:rPr>
        <w:t>或不適用條件</w:t>
      </w:r>
    </w:p>
    <w:p w14:paraId="2F8D106C" w14:textId="77777777" w:rsidR="00F10BCA" w:rsidRDefault="00BD0B01">
      <w:pPr>
        <w:pStyle w:val="BodyEN"/>
      </w:pPr>
      <w:r>
        <w:rPr>
          <w:sz w:val="21"/>
        </w:rPr>
        <w:t>EOS/EOL or not appropriate</w:t>
      </w:r>
    </w:p>
    <w:p w14:paraId="51BBDBEB" w14:textId="77777777" w:rsidR="00F10BCA" w:rsidRDefault="00BD0B01">
      <w:pPr>
        <w:pStyle w:val="af"/>
      </w:pPr>
      <w:r>
        <w:rPr>
          <w:sz w:val="21"/>
        </w:rPr>
        <w:t>公告發布日期與更新日期</w:t>
      </w:r>
    </w:p>
    <w:p w14:paraId="2EF0BAA9" w14:textId="77777777" w:rsidR="00F10BCA" w:rsidRDefault="00BD0B01">
      <w:pPr>
        <w:pStyle w:val="BodyEN"/>
      </w:pPr>
      <w:r>
        <w:rPr>
          <w:sz w:val="21"/>
        </w:rPr>
        <w:t>Announced and updated</w:t>
      </w:r>
    </w:p>
    <w:p w14:paraId="6435BBA3" w14:textId="77777777" w:rsidR="00F10BCA" w:rsidRDefault="00BD0B01">
      <w:pPr>
        <w:pStyle w:val="Body"/>
      </w:pPr>
      <w:r>
        <w:rPr>
          <w:sz w:val="21"/>
        </w:rPr>
        <w:t>對外公告應以</w:t>
      </w:r>
      <w:r>
        <w:rPr>
          <w:sz w:val="21"/>
        </w:rPr>
        <w:t xml:space="preserve"> human-reada</w:t>
      </w:r>
      <w:r>
        <w:rPr>
          <w:sz w:val="21"/>
        </w:rPr>
        <w:t xml:space="preserve">ble </w:t>
      </w:r>
      <w:r>
        <w:rPr>
          <w:sz w:val="21"/>
        </w:rPr>
        <w:t>格式提供。若適用</w:t>
      </w:r>
      <w:r>
        <w:rPr>
          <w:sz w:val="21"/>
        </w:rPr>
        <w:t xml:space="preserve"> machine-readable advisory</w:t>
      </w:r>
      <w:r>
        <w:rPr>
          <w:sz w:val="21"/>
        </w:rPr>
        <w:t>，應由</w:t>
      </w:r>
      <w:r>
        <w:rPr>
          <w:sz w:val="21"/>
        </w:rPr>
        <w:t xml:space="preserve"> L3 </w:t>
      </w:r>
      <w:r>
        <w:rPr>
          <w:sz w:val="21"/>
        </w:rPr>
        <w:t>作業文件定義格式、產製、審查、發布、更新與撤回流程。</w:t>
      </w:r>
    </w:p>
    <w:p w14:paraId="7C6C38AC" w14:textId="77777777" w:rsidR="00F10BCA" w:rsidRDefault="00BD0B01">
      <w:pPr>
        <w:pStyle w:val="BodyEN"/>
      </w:pPr>
      <w:r>
        <w:rPr>
          <w:sz w:val="21"/>
        </w:rPr>
        <w:t>External announcements should be available in human-readable format. If appropriate, the process should be defined, produced, reviewed, issued, updated and withdrawn by the L3 business</w:t>
      </w:r>
      <w:r>
        <w:rPr>
          <w:sz w:val="21"/>
        </w:rPr>
        <w:t xml:space="preserve"> document.</w:t>
      </w:r>
    </w:p>
    <w:p w14:paraId="5EC7243B" w14:textId="77777777" w:rsidR="00F10BCA" w:rsidRDefault="00BD0B01">
      <w:pPr>
        <w:pStyle w:val="H2"/>
      </w:pPr>
      <w:r>
        <w:rPr>
          <w:sz w:val="21"/>
        </w:rPr>
        <w:t xml:space="preserve">8.4 </w:t>
      </w:r>
      <w:r>
        <w:rPr>
          <w:sz w:val="21"/>
        </w:rPr>
        <w:t>禁止過早揭露內容</w:t>
      </w:r>
    </w:p>
    <w:p w14:paraId="18C5CE1E" w14:textId="77777777" w:rsidR="00F10BCA" w:rsidRDefault="00BD0B01">
      <w:pPr>
        <w:pStyle w:val="H2EN"/>
      </w:pPr>
      <w:r>
        <w:rPr>
          <w:sz w:val="21"/>
        </w:rPr>
        <w:t>8.4 Prohibited Premature Disclosure Content</w:t>
      </w:r>
    </w:p>
    <w:p w14:paraId="778110D7" w14:textId="77777777" w:rsidR="00F10BCA" w:rsidRDefault="00BD0B01">
      <w:pPr>
        <w:pStyle w:val="Body"/>
      </w:pPr>
      <w:r>
        <w:rPr>
          <w:sz w:val="21"/>
        </w:rPr>
        <w:lastRenderedPageBreak/>
        <w:t>在未完成風險</w:t>
      </w:r>
      <w:proofErr w:type="gramStart"/>
      <w:r>
        <w:rPr>
          <w:sz w:val="21"/>
        </w:rPr>
        <w:t>控管前</w:t>
      </w:r>
      <w:proofErr w:type="gramEnd"/>
      <w:r>
        <w:rPr>
          <w:sz w:val="21"/>
        </w:rPr>
        <w:t>，不得對外主動揭露：</w:t>
      </w:r>
    </w:p>
    <w:p w14:paraId="2D6FEDEF" w14:textId="77777777" w:rsidR="00F10BCA" w:rsidRDefault="00BD0B01">
      <w:pPr>
        <w:pStyle w:val="BodyEN"/>
      </w:pPr>
      <w:r>
        <w:rPr>
          <w:sz w:val="21"/>
        </w:rPr>
        <w:t xml:space="preserve">No external exposure until the risk management is completed.: </w:t>
      </w:r>
    </w:p>
    <w:p w14:paraId="3A07BDF8" w14:textId="77777777" w:rsidR="00F10BCA" w:rsidRDefault="00BD0B01">
      <w:pPr>
        <w:pStyle w:val="af"/>
      </w:pPr>
      <w:r>
        <w:rPr>
          <w:sz w:val="21"/>
        </w:rPr>
        <w:t>完整</w:t>
      </w:r>
      <w:r>
        <w:rPr>
          <w:sz w:val="21"/>
        </w:rPr>
        <w:t xml:space="preserve"> exploit code</w:t>
      </w:r>
      <w:r>
        <w:rPr>
          <w:sz w:val="21"/>
        </w:rPr>
        <w:t>、</w:t>
      </w:r>
      <w:r>
        <w:rPr>
          <w:sz w:val="21"/>
        </w:rPr>
        <w:t>payload</w:t>
      </w:r>
      <w:r>
        <w:rPr>
          <w:sz w:val="21"/>
        </w:rPr>
        <w:t>、關鍵參數或可直接複製之攻擊鏈</w:t>
      </w:r>
    </w:p>
    <w:p w14:paraId="560FAC42" w14:textId="77777777" w:rsidR="00F10BCA" w:rsidRDefault="00BD0B01">
      <w:pPr>
        <w:pStyle w:val="BodyEN"/>
      </w:pPr>
      <w:r>
        <w:rPr>
          <w:sz w:val="21"/>
        </w:rPr>
        <w:t xml:space="preserve">Full expluit code, payload, key parameters or direct </w:t>
      </w:r>
      <w:r>
        <w:rPr>
          <w:sz w:val="21"/>
        </w:rPr>
        <w:t>copyable attack chain</w:t>
      </w:r>
    </w:p>
    <w:p w14:paraId="32503FA9" w14:textId="77777777" w:rsidR="00F10BCA" w:rsidRDefault="00BD0B01">
      <w:pPr>
        <w:pStyle w:val="af"/>
      </w:pPr>
      <w:r>
        <w:rPr>
          <w:sz w:val="21"/>
        </w:rPr>
        <w:t>尚未發布修補前足以導致</w:t>
      </w:r>
      <w:r>
        <w:rPr>
          <w:sz w:val="21"/>
        </w:rPr>
        <w:t xml:space="preserve"> N-day weaponization </w:t>
      </w:r>
      <w:r>
        <w:rPr>
          <w:sz w:val="21"/>
        </w:rPr>
        <w:t>的差異細節</w:t>
      </w:r>
    </w:p>
    <w:p w14:paraId="4BA70E83" w14:textId="77777777" w:rsidR="00F10BCA" w:rsidRDefault="00BD0B01">
      <w:pPr>
        <w:pStyle w:val="BodyEN"/>
      </w:pPr>
      <w:r>
        <w:rPr>
          <w:sz w:val="21"/>
        </w:rPr>
        <w:t>N-day differential details before patching</w:t>
      </w:r>
    </w:p>
    <w:p w14:paraId="62E48271" w14:textId="77777777" w:rsidR="00F10BCA" w:rsidRDefault="00BD0B01">
      <w:pPr>
        <w:pStyle w:val="af"/>
      </w:pPr>
      <w:r>
        <w:rPr>
          <w:sz w:val="21"/>
        </w:rPr>
        <w:t>不必要之客戶環境資訊、</w:t>
      </w:r>
      <w:proofErr w:type="gramStart"/>
      <w:r>
        <w:rPr>
          <w:sz w:val="21"/>
        </w:rPr>
        <w:t>個</w:t>
      </w:r>
      <w:proofErr w:type="gramEnd"/>
      <w:r>
        <w:rPr>
          <w:sz w:val="21"/>
        </w:rPr>
        <w:t>資或敏感營運資料</w:t>
      </w:r>
    </w:p>
    <w:p w14:paraId="736D147F" w14:textId="77777777" w:rsidR="00F10BCA" w:rsidRDefault="00BD0B01">
      <w:pPr>
        <w:pStyle w:val="BodyEN"/>
      </w:pPr>
      <w:r>
        <w:rPr>
          <w:sz w:val="21"/>
        </w:rPr>
        <w:t>Unnecessary client information, information or sensitive operations</w:t>
      </w:r>
    </w:p>
    <w:p w14:paraId="3AB8381C" w14:textId="77777777" w:rsidR="00F10BCA" w:rsidRDefault="00BD0B01">
      <w:pPr>
        <w:pStyle w:val="H1"/>
      </w:pPr>
      <w:r>
        <w:rPr>
          <w:sz w:val="21"/>
        </w:rPr>
        <w:t xml:space="preserve">9. </w:t>
      </w:r>
      <w:r>
        <w:rPr>
          <w:sz w:val="21"/>
        </w:rPr>
        <w:t>利害關係人管理</w:t>
      </w:r>
      <w:r>
        <w:rPr>
          <w:sz w:val="21"/>
        </w:rPr>
        <w:t xml:space="preserve"> Stakeholder Management</w:t>
      </w:r>
    </w:p>
    <w:p w14:paraId="484D5A45" w14:textId="77777777" w:rsidR="00F10BCA" w:rsidRDefault="00BD0B01">
      <w:pPr>
        <w:pStyle w:val="H1EN"/>
      </w:pPr>
      <w:r>
        <w:rPr>
          <w:sz w:val="21"/>
        </w:rPr>
        <w:t>9. Stakeholder Management</w:t>
      </w:r>
    </w:p>
    <w:p w14:paraId="5A8CE993" w14:textId="77777777" w:rsidR="00F10BCA" w:rsidRDefault="00BD0B01">
      <w:pPr>
        <w:pStyle w:val="Body"/>
      </w:pPr>
      <w:r>
        <w:rPr>
          <w:sz w:val="21"/>
        </w:rPr>
        <w:t>PSIR</w:t>
      </w:r>
      <w:r>
        <w:rPr>
          <w:sz w:val="21"/>
        </w:rPr>
        <w:t xml:space="preserve">T </w:t>
      </w:r>
      <w:r>
        <w:rPr>
          <w:sz w:val="21"/>
        </w:rPr>
        <w:t>應於每一弱點案件中建立或更新利害關係人清單，至少識別：</w:t>
      </w:r>
    </w:p>
    <w:p w14:paraId="6AE98471" w14:textId="77777777" w:rsidR="00F10BCA" w:rsidRDefault="00BD0B01">
      <w:pPr>
        <w:pStyle w:val="BodyEN"/>
      </w:pPr>
      <w:r>
        <w:rPr>
          <w:sz w:val="21"/>
        </w:rPr>
        <w:t xml:space="preserve">PSIRT should create or update a list of stakeholders in each weakness case, at least to identify: </w:t>
      </w:r>
    </w:p>
    <w:p w14:paraId="1B8ACD4D" w14:textId="77777777" w:rsidR="00F10BCA" w:rsidRDefault="00BD0B01">
      <w:pPr>
        <w:pStyle w:val="af"/>
      </w:pPr>
      <w:r>
        <w:rPr>
          <w:sz w:val="21"/>
        </w:rPr>
        <w:t>通報者或研究員</w:t>
      </w:r>
    </w:p>
    <w:p w14:paraId="36F2CC54" w14:textId="77777777" w:rsidR="00F10BCA" w:rsidRDefault="00BD0B01">
      <w:pPr>
        <w:pStyle w:val="BodyEN"/>
      </w:pPr>
      <w:r>
        <w:rPr>
          <w:sz w:val="21"/>
        </w:rPr>
        <w:t>Informer or researcher</w:t>
      </w:r>
    </w:p>
    <w:p w14:paraId="1B9585B0" w14:textId="77777777" w:rsidR="00F10BCA" w:rsidRDefault="00BD0B01">
      <w:pPr>
        <w:pStyle w:val="af"/>
      </w:pPr>
      <w:r>
        <w:rPr>
          <w:sz w:val="21"/>
        </w:rPr>
        <w:t>受影響客戶與</w:t>
      </w:r>
      <w:r>
        <w:rPr>
          <w:sz w:val="21"/>
        </w:rPr>
        <w:t xml:space="preserve"> ODM/OEM </w:t>
      </w:r>
      <w:r>
        <w:rPr>
          <w:sz w:val="21"/>
        </w:rPr>
        <w:t>客戶</w:t>
      </w:r>
    </w:p>
    <w:p w14:paraId="52367C3D" w14:textId="77777777" w:rsidR="00F10BCA" w:rsidRDefault="00BD0B01">
      <w:pPr>
        <w:pStyle w:val="BodyEN"/>
      </w:pPr>
      <w:r>
        <w:rPr>
          <w:sz w:val="21"/>
        </w:rPr>
        <w:t>Affected clients and ODM/OEM clients</w:t>
      </w:r>
    </w:p>
    <w:p w14:paraId="0F491F0F" w14:textId="77777777" w:rsidR="00F10BCA" w:rsidRDefault="00BD0B01">
      <w:pPr>
        <w:pStyle w:val="af"/>
      </w:pPr>
      <w:r>
        <w:rPr>
          <w:sz w:val="21"/>
        </w:rPr>
        <w:t>PM</w:t>
      </w:r>
      <w:r>
        <w:rPr>
          <w:sz w:val="21"/>
        </w:rPr>
        <w:t>、</w:t>
      </w:r>
      <w:r>
        <w:rPr>
          <w:sz w:val="21"/>
        </w:rPr>
        <w:t>RD</w:t>
      </w:r>
      <w:r>
        <w:rPr>
          <w:sz w:val="21"/>
        </w:rPr>
        <w:t>、</w:t>
      </w:r>
      <w:r>
        <w:rPr>
          <w:sz w:val="21"/>
        </w:rPr>
        <w:t>DQV/QA</w:t>
      </w:r>
      <w:r>
        <w:rPr>
          <w:sz w:val="21"/>
        </w:rPr>
        <w:t>、客服、業務</w:t>
      </w:r>
    </w:p>
    <w:p w14:paraId="03392F56" w14:textId="77777777" w:rsidR="00F10BCA" w:rsidRDefault="00BD0B01">
      <w:pPr>
        <w:pStyle w:val="BodyEN"/>
      </w:pPr>
      <w:r>
        <w:rPr>
          <w:sz w:val="21"/>
        </w:rPr>
        <w:t>PM, RD, DQV/QA, passen</w:t>
      </w:r>
      <w:r>
        <w:rPr>
          <w:sz w:val="21"/>
        </w:rPr>
        <w:t>ger service, business</w:t>
      </w:r>
    </w:p>
    <w:p w14:paraId="43D9A226" w14:textId="77777777" w:rsidR="00F10BCA" w:rsidRDefault="00BD0B01">
      <w:pPr>
        <w:pStyle w:val="af"/>
      </w:pPr>
      <w:r>
        <w:rPr>
          <w:sz w:val="21"/>
        </w:rPr>
        <w:t>第三方元件供應商與外包合作夥伴</w:t>
      </w:r>
    </w:p>
    <w:p w14:paraId="0F2E7695" w14:textId="77777777" w:rsidR="00F10BCA" w:rsidRDefault="00BD0B01">
      <w:pPr>
        <w:pStyle w:val="BodyEN"/>
      </w:pPr>
      <w:r>
        <w:rPr>
          <w:sz w:val="21"/>
        </w:rPr>
        <w:t>Third-party component suppliers and outsourced partners</w:t>
      </w:r>
    </w:p>
    <w:p w14:paraId="0487F664" w14:textId="77777777" w:rsidR="00F10BCA" w:rsidRDefault="00BD0B01">
      <w:pPr>
        <w:pStyle w:val="af"/>
      </w:pPr>
      <w:r>
        <w:rPr>
          <w:sz w:val="21"/>
        </w:rPr>
        <w:t>必要時之</w:t>
      </w:r>
      <w:r>
        <w:rPr>
          <w:sz w:val="21"/>
        </w:rPr>
        <w:t xml:space="preserve"> CERT/CSIRT</w:t>
      </w:r>
      <w:r>
        <w:rPr>
          <w:sz w:val="21"/>
        </w:rPr>
        <w:t>、</w:t>
      </w:r>
      <w:r>
        <w:rPr>
          <w:sz w:val="21"/>
        </w:rPr>
        <w:t>CVE/CNA</w:t>
      </w:r>
      <w:r>
        <w:rPr>
          <w:sz w:val="21"/>
        </w:rPr>
        <w:t>、主管機關或法</w:t>
      </w:r>
      <w:proofErr w:type="gramStart"/>
      <w:r>
        <w:rPr>
          <w:sz w:val="21"/>
        </w:rPr>
        <w:t>遵</w:t>
      </w:r>
      <w:proofErr w:type="gramEnd"/>
      <w:r>
        <w:rPr>
          <w:sz w:val="21"/>
        </w:rPr>
        <w:t>窗口</w:t>
      </w:r>
    </w:p>
    <w:p w14:paraId="6F042002" w14:textId="77777777" w:rsidR="00F10BCA" w:rsidRDefault="00BD0B01">
      <w:pPr>
        <w:pStyle w:val="BodyEN"/>
      </w:pPr>
      <w:r>
        <w:rPr>
          <w:sz w:val="21"/>
        </w:rPr>
        <w:t>CERT/CSIRT, CVE/CNA, authority or compliance window, if necessary</w:t>
      </w:r>
    </w:p>
    <w:p w14:paraId="0C4CEA16" w14:textId="77777777" w:rsidR="00F10BCA" w:rsidRDefault="00BD0B01">
      <w:pPr>
        <w:pStyle w:val="Body"/>
      </w:pPr>
      <w:r>
        <w:rPr>
          <w:sz w:val="21"/>
        </w:rPr>
        <w:t>針對</w:t>
      </w:r>
      <w:r>
        <w:rPr>
          <w:sz w:val="21"/>
        </w:rPr>
        <w:t xml:space="preserve"> OEM/ODM </w:t>
      </w:r>
      <w:r>
        <w:rPr>
          <w:sz w:val="21"/>
        </w:rPr>
        <w:t>案件，應額外記錄公告權責、通知順序、</w:t>
      </w:r>
      <w:r>
        <w:rPr>
          <w:sz w:val="21"/>
        </w:rPr>
        <w:t xml:space="preserve">NDA </w:t>
      </w:r>
      <w:r>
        <w:rPr>
          <w:sz w:val="21"/>
        </w:rPr>
        <w:t>條件與客戶是否自行發布。</w:t>
      </w:r>
    </w:p>
    <w:p w14:paraId="7DBCFD1E" w14:textId="77777777" w:rsidR="00F10BCA" w:rsidRDefault="00BD0B01">
      <w:pPr>
        <w:pStyle w:val="BodyEN"/>
      </w:pPr>
      <w:r>
        <w:rPr>
          <w:sz w:val="21"/>
        </w:rPr>
        <w:t>In the OEM/ODM c</w:t>
      </w:r>
      <w:r>
        <w:rPr>
          <w:sz w:val="21"/>
        </w:rPr>
        <w:t>ase, additional notice rights, notification order, NDA conditions and client issues.</w:t>
      </w:r>
    </w:p>
    <w:p w14:paraId="564771C4" w14:textId="77777777" w:rsidR="00F10BCA" w:rsidRDefault="00BD0B01">
      <w:pPr>
        <w:pStyle w:val="H1"/>
      </w:pPr>
      <w:r>
        <w:rPr>
          <w:sz w:val="21"/>
        </w:rPr>
        <w:t xml:space="preserve">10. Jira </w:t>
      </w:r>
      <w:r>
        <w:rPr>
          <w:sz w:val="21"/>
        </w:rPr>
        <w:t>記錄與資料保護</w:t>
      </w:r>
      <w:r>
        <w:rPr>
          <w:sz w:val="21"/>
        </w:rPr>
        <w:t xml:space="preserve"> Jira Recordkeeping and Data Protection</w:t>
      </w:r>
    </w:p>
    <w:p w14:paraId="0DE44E70" w14:textId="77777777" w:rsidR="00F10BCA" w:rsidRDefault="00BD0B01">
      <w:pPr>
        <w:pStyle w:val="H1EN"/>
      </w:pPr>
      <w:r>
        <w:rPr>
          <w:sz w:val="21"/>
        </w:rPr>
        <w:t>10. Jira Recordkeeping and Data Protection</w:t>
      </w:r>
    </w:p>
    <w:p w14:paraId="0AA1D730" w14:textId="77777777" w:rsidR="00F10BCA" w:rsidRDefault="00BD0B01">
      <w:pPr>
        <w:pStyle w:val="H2"/>
      </w:pPr>
      <w:r>
        <w:rPr>
          <w:sz w:val="21"/>
        </w:rPr>
        <w:t xml:space="preserve">10.1 </w:t>
      </w:r>
      <w:proofErr w:type="gramStart"/>
      <w:r>
        <w:rPr>
          <w:sz w:val="21"/>
        </w:rPr>
        <w:t>必填紀錄</w:t>
      </w:r>
      <w:proofErr w:type="gramEnd"/>
    </w:p>
    <w:p w14:paraId="7DC8FE43" w14:textId="77777777" w:rsidR="00F10BCA" w:rsidRDefault="00BD0B01">
      <w:pPr>
        <w:pStyle w:val="H2EN"/>
      </w:pPr>
      <w:r>
        <w:rPr>
          <w:sz w:val="21"/>
        </w:rPr>
        <w:t>10.1 Required Records</w:t>
      </w:r>
    </w:p>
    <w:p w14:paraId="22CF4887" w14:textId="77777777" w:rsidR="00F10BCA" w:rsidRDefault="00BD0B01">
      <w:pPr>
        <w:pStyle w:val="Body"/>
      </w:pPr>
      <w:r>
        <w:rPr>
          <w:sz w:val="21"/>
        </w:rPr>
        <w:t>每一</w:t>
      </w:r>
      <w:r>
        <w:rPr>
          <w:sz w:val="21"/>
        </w:rPr>
        <w:t xml:space="preserve"> Jira </w:t>
      </w:r>
      <w:r>
        <w:rPr>
          <w:sz w:val="21"/>
        </w:rPr>
        <w:t>主案件至少應記錄：</w:t>
      </w:r>
    </w:p>
    <w:p w14:paraId="051E2402" w14:textId="77777777" w:rsidR="00F10BCA" w:rsidRDefault="00BD0B01">
      <w:pPr>
        <w:pStyle w:val="BodyEN"/>
      </w:pPr>
      <w:r>
        <w:rPr>
          <w:sz w:val="21"/>
        </w:rPr>
        <w:t>Every Jira case should</w:t>
      </w:r>
      <w:r>
        <w:rPr>
          <w:sz w:val="21"/>
        </w:rPr>
        <w:t xml:space="preserve"> at least be recorded.: </w:t>
      </w:r>
    </w:p>
    <w:p w14:paraId="705826B5" w14:textId="77777777" w:rsidR="00F10BCA" w:rsidRDefault="00BD0B01">
      <w:pPr>
        <w:pStyle w:val="af"/>
      </w:pPr>
      <w:r>
        <w:rPr>
          <w:sz w:val="21"/>
        </w:rPr>
        <w:t>案件編號、來源、建立時間、目前狀態與責任人</w:t>
      </w:r>
    </w:p>
    <w:p w14:paraId="00D1E0A0" w14:textId="77777777" w:rsidR="00F10BCA" w:rsidRDefault="00BD0B01">
      <w:pPr>
        <w:pStyle w:val="BodyEN"/>
      </w:pPr>
      <w:r>
        <w:rPr>
          <w:sz w:val="21"/>
        </w:rPr>
        <w:t>Case number, source, time of establishment, current status and responsibility</w:t>
      </w:r>
    </w:p>
    <w:p w14:paraId="0EA2F8C6" w14:textId="77777777" w:rsidR="00F10BCA" w:rsidRDefault="00BD0B01">
      <w:pPr>
        <w:pStyle w:val="af"/>
      </w:pPr>
      <w:r>
        <w:rPr>
          <w:sz w:val="21"/>
        </w:rPr>
        <w:t>產品、版本、平台、</w:t>
      </w:r>
      <w:r>
        <w:rPr>
          <w:sz w:val="21"/>
        </w:rPr>
        <w:t>BOM/</w:t>
      </w:r>
      <w:r>
        <w:rPr>
          <w:sz w:val="21"/>
        </w:rPr>
        <w:t>第三方元件資訊</w:t>
      </w:r>
    </w:p>
    <w:p w14:paraId="1D2E8293" w14:textId="77777777" w:rsidR="00F10BCA" w:rsidRDefault="00BD0B01">
      <w:pPr>
        <w:pStyle w:val="BodyEN"/>
      </w:pPr>
      <w:r>
        <w:rPr>
          <w:sz w:val="21"/>
        </w:rPr>
        <w:t>Product, version, platform, BOM/third party component information</w:t>
      </w:r>
    </w:p>
    <w:p w14:paraId="1C53FAB0" w14:textId="77777777" w:rsidR="00F10BCA" w:rsidRDefault="00BD0B01">
      <w:pPr>
        <w:pStyle w:val="af"/>
      </w:pPr>
      <w:r>
        <w:rPr>
          <w:sz w:val="21"/>
        </w:rPr>
        <w:t>PM</w:t>
      </w:r>
      <w:r>
        <w:rPr>
          <w:sz w:val="21"/>
        </w:rPr>
        <w:t>、產品範圍確認時間、客戶</w:t>
      </w:r>
      <w:r>
        <w:rPr>
          <w:sz w:val="21"/>
        </w:rPr>
        <w:t xml:space="preserve">/ODM/OEM </w:t>
      </w:r>
      <w:r>
        <w:rPr>
          <w:sz w:val="21"/>
        </w:rPr>
        <w:t>影響範圍、</w:t>
      </w:r>
      <w:r>
        <w:rPr>
          <w:sz w:val="21"/>
        </w:rPr>
        <w:t xml:space="preserve">EOL/EOS </w:t>
      </w:r>
      <w:r>
        <w:rPr>
          <w:sz w:val="21"/>
        </w:rPr>
        <w:t>判定、</w:t>
      </w:r>
      <w:r>
        <w:rPr>
          <w:sz w:val="21"/>
        </w:rPr>
        <w:t xml:space="preserve">release path </w:t>
      </w:r>
      <w:r>
        <w:rPr>
          <w:sz w:val="21"/>
        </w:rPr>
        <w:t>與客戶通知策略輸入</w:t>
      </w:r>
    </w:p>
    <w:p w14:paraId="5CC4F363" w14:textId="77777777" w:rsidR="00F10BCA" w:rsidRDefault="00BD0B01">
      <w:pPr>
        <w:pStyle w:val="BodyEN"/>
      </w:pPr>
      <w:r>
        <w:rPr>
          <w:sz w:val="21"/>
        </w:rPr>
        <w:t>PM, product range time, customer/ODM/OEM impact range, EOL/EOS determination, release path and customer notification strategy input</w:t>
      </w:r>
    </w:p>
    <w:p w14:paraId="0AB9FD10" w14:textId="77777777" w:rsidR="00F10BCA" w:rsidRDefault="00BD0B01">
      <w:pPr>
        <w:pStyle w:val="af"/>
      </w:pPr>
      <w:r>
        <w:rPr>
          <w:sz w:val="21"/>
        </w:rPr>
        <w:t>風險等級、</w:t>
      </w:r>
      <w:r>
        <w:rPr>
          <w:sz w:val="21"/>
        </w:rPr>
        <w:t>CVSS</w:t>
      </w:r>
      <w:r>
        <w:rPr>
          <w:sz w:val="21"/>
        </w:rPr>
        <w:t>、</w:t>
      </w:r>
      <w:r>
        <w:rPr>
          <w:sz w:val="21"/>
        </w:rPr>
        <w:t>Exploitation Status</w:t>
      </w:r>
      <w:r>
        <w:rPr>
          <w:sz w:val="21"/>
        </w:rPr>
        <w:t>、是否可能觸發</w:t>
      </w:r>
      <w:r>
        <w:rPr>
          <w:sz w:val="21"/>
        </w:rPr>
        <w:t xml:space="preserve"> CRA</w:t>
      </w:r>
      <w:r>
        <w:rPr>
          <w:sz w:val="21"/>
        </w:rPr>
        <w:t>、</w:t>
      </w:r>
      <w:r>
        <w:rPr>
          <w:sz w:val="21"/>
        </w:rPr>
        <w:t xml:space="preserve">CRA </w:t>
      </w:r>
      <w:r>
        <w:rPr>
          <w:sz w:val="21"/>
        </w:rPr>
        <w:t>責任角色初判</w:t>
      </w:r>
    </w:p>
    <w:p w14:paraId="1C2E13C0" w14:textId="77777777" w:rsidR="00F10BCA" w:rsidRDefault="00BD0B01">
      <w:pPr>
        <w:pStyle w:val="BodyEN"/>
      </w:pPr>
      <w:r>
        <w:rPr>
          <w:sz w:val="21"/>
        </w:rPr>
        <w:lastRenderedPageBreak/>
        <w:t>Risk level, CVSS, Exposition Stat</w:t>
      </w:r>
      <w:r>
        <w:rPr>
          <w:sz w:val="21"/>
        </w:rPr>
        <w:t>us, possible trigger for the CRA, CRA's initial sentencing.</w:t>
      </w:r>
    </w:p>
    <w:p w14:paraId="2EB8646C" w14:textId="77777777" w:rsidR="00F10BCA" w:rsidRDefault="00BD0B01">
      <w:pPr>
        <w:pStyle w:val="af"/>
      </w:pPr>
      <w:r>
        <w:rPr>
          <w:sz w:val="21"/>
        </w:rPr>
        <w:t>分析結論、修補</w:t>
      </w:r>
      <w:r>
        <w:rPr>
          <w:sz w:val="21"/>
        </w:rPr>
        <w:t>/</w:t>
      </w:r>
      <w:r>
        <w:rPr>
          <w:sz w:val="21"/>
        </w:rPr>
        <w:t>緩解方案、發布決策</w:t>
      </w:r>
    </w:p>
    <w:p w14:paraId="72F15B7F" w14:textId="77777777" w:rsidR="00F10BCA" w:rsidRDefault="00BD0B01">
      <w:pPr>
        <w:pStyle w:val="BodyEN"/>
      </w:pPr>
      <w:r>
        <w:rPr>
          <w:sz w:val="21"/>
        </w:rPr>
        <w:t>Analysis of conclusions, repair/relaxion programmes, formulation of decisions</w:t>
      </w:r>
    </w:p>
    <w:p w14:paraId="3050164B" w14:textId="77777777" w:rsidR="00F10BCA" w:rsidRDefault="00BD0B01">
      <w:pPr>
        <w:pStyle w:val="af"/>
      </w:pPr>
      <w:r>
        <w:rPr>
          <w:sz w:val="21"/>
        </w:rPr>
        <w:t>對外溝通摘要、客戶通報支援紀錄、通知日期、主要承諾與例外</w:t>
      </w:r>
    </w:p>
    <w:p w14:paraId="0B73F82B" w14:textId="77777777" w:rsidR="00F10BCA" w:rsidRDefault="00BD0B01">
      <w:pPr>
        <w:pStyle w:val="BodyEN"/>
      </w:pPr>
      <w:r>
        <w:rPr>
          <w:sz w:val="21"/>
        </w:rPr>
        <w:t>Communications summaries, client support logs, notification dates, majo</w:t>
      </w:r>
      <w:r>
        <w:rPr>
          <w:sz w:val="21"/>
        </w:rPr>
        <w:t>r commitments and exceptions</w:t>
      </w:r>
    </w:p>
    <w:p w14:paraId="7B043095" w14:textId="77777777" w:rsidR="00F10BCA" w:rsidRDefault="00BD0B01">
      <w:pPr>
        <w:pStyle w:val="af"/>
      </w:pPr>
      <w:r>
        <w:rPr>
          <w:sz w:val="21"/>
        </w:rPr>
        <w:t>公告版本、修補版本、結案日期與</w:t>
      </w:r>
      <w:r>
        <w:rPr>
          <w:sz w:val="21"/>
        </w:rPr>
        <w:t xml:space="preserve"> lessons learned</w:t>
      </w:r>
    </w:p>
    <w:p w14:paraId="6AC8AF59" w14:textId="77777777" w:rsidR="00F10BCA" w:rsidRDefault="00BD0B01">
      <w:pPr>
        <w:pStyle w:val="BodyEN"/>
      </w:pPr>
      <w:r>
        <w:rPr>
          <w:sz w:val="21"/>
        </w:rPr>
        <w:t>Bulletin version, patches version, closing date and newsLearned</w:t>
      </w:r>
    </w:p>
    <w:p w14:paraId="2FFBE6D7" w14:textId="77777777" w:rsidR="00F10BCA" w:rsidRDefault="00BD0B01">
      <w:pPr>
        <w:pStyle w:val="H2"/>
      </w:pPr>
      <w:r>
        <w:rPr>
          <w:sz w:val="21"/>
        </w:rPr>
        <w:t xml:space="preserve">10.2 </w:t>
      </w:r>
      <w:r>
        <w:rPr>
          <w:sz w:val="21"/>
        </w:rPr>
        <w:t>已遭利用與</w:t>
      </w:r>
      <w:r>
        <w:rPr>
          <w:sz w:val="21"/>
        </w:rPr>
        <w:t xml:space="preserve"> CRA </w:t>
      </w:r>
      <w:r>
        <w:rPr>
          <w:sz w:val="21"/>
        </w:rPr>
        <w:t>判定留痕要求</w:t>
      </w:r>
    </w:p>
    <w:p w14:paraId="6DD3832B" w14:textId="77777777" w:rsidR="00F10BCA" w:rsidRDefault="00BD0B01">
      <w:pPr>
        <w:pStyle w:val="H2EN"/>
      </w:pPr>
      <w:r>
        <w:rPr>
          <w:sz w:val="21"/>
        </w:rPr>
        <w:t>10.2 Traceability Requirements for Exploitation and CRA Determinations</w:t>
      </w:r>
    </w:p>
    <w:p w14:paraId="665C0A3F" w14:textId="77777777" w:rsidR="00F10BCA" w:rsidRDefault="00BD0B01">
      <w:pPr>
        <w:pStyle w:val="Body"/>
      </w:pPr>
      <w:r>
        <w:rPr>
          <w:sz w:val="21"/>
        </w:rPr>
        <w:t>為使已遭利用狀態與</w:t>
      </w:r>
      <w:r>
        <w:rPr>
          <w:sz w:val="21"/>
        </w:rPr>
        <w:t xml:space="preserve"> CRA </w:t>
      </w:r>
      <w:r>
        <w:rPr>
          <w:sz w:val="21"/>
        </w:rPr>
        <w:t>通報判定可稽核，</w:t>
      </w:r>
      <w:r>
        <w:rPr>
          <w:sz w:val="21"/>
        </w:rPr>
        <w:t xml:space="preserve">Jira </w:t>
      </w:r>
      <w:r>
        <w:rPr>
          <w:sz w:val="21"/>
        </w:rPr>
        <w:t>主案件應保留足以重建判</w:t>
      </w:r>
      <w:r>
        <w:rPr>
          <w:sz w:val="21"/>
        </w:rPr>
        <w:t>定過程之最低必要紀錄。紀錄內容至少應涵蓋：</w:t>
      </w:r>
    </w:p>
    <w:p w14:paraId="7401F604" w14:textId="77777777" w:rsidR="00F10BCA" w:rsidRDefault="00BD0B01">
      <w:pPr>
        <w:pStyle w:val="BodyEN"/>
      </w:pPr>
      <w:r>
        <w:rPr>
          <w:sz w:val="21"/>
        </w:rPr>
        <w:t>In order to allow the use of the status quo and the CRA to be reported for audit purposes, the main case of Jira should be kept sufficiently to re-establish the minimum necessary records for the determination process. The record shoul</w:t>
      </w:r>
      <w:r>
        <w:rPr>
          <w:sz w:val="21"/>
        </w:rPr>
        <w:t xml:space="preserve">d at least cover it.: </w:t>
      </w:r>
    </w:p>
    <w:p w14:paraId="0A47DD36" w14:textId="77777777" w:rsidR="00F10BCA" w:rsidRDefault="00BD0B01">
      <w:pPr>
        <w:pStyle w:val="af"/>
      </w:pPr>
      <w:r>
        <w:rPr>
          <w:sz w:val="21"/>
        </w:rPr>
        <w:t>利用狀態判定結果與更新時間。</w:t>
      </w:r>
    </w:p>
    <w:p w14:paraId="01FE0782" w14:textId="77777777" w:rsidR="00F10BCA" w:rsidRDefault="00BD0B01">
      <w:pPr>
        <w:pStyle w:val="BodyEN"/>
      </w:pPr>
      <w:r>
        <w:rPr>
          <w:sz w:val="21"/>
        </w:rPr>
        <w:t>Use status determination and update time.</w:t>
      </w:r>
    </w:p>
    <w:p w14:paraId="0972C41F" w14:textId="77777777" w:rsidR="00F10BCA" w:rsidRDefault="00BD0B01">
      <w:pPr>
        <w:pStyle w:val="af"/>
      </w:pPr>
      <w:r>
        <w:rPr>
          <w:sz w:val="21"/>
        </w:rPr>
        <w:t>判定理由與適用之</w:t>
      </w:r>
      <w:r>
        <w:rPr>
          <w:sz w:val="21"/>
        </w:rPr>
        <w:t xml:space="preserve"> E0 / E1 / E2 / E3 </w:t>
      </w:r>
      <w:r>
        <w:rPr>
          <w:sz w:val="21"/>
        </w:rPr>
        <w:t>等級。</w:t>
      </w:r>
    </w:p>
    <w:p w14:paraId="12DA8E17" w14:textId="77777777" w:rsidR="00F10BCA" w:rsidRDefault="00BD0B01">
      <w:pPr>
        <w:pStyle w:val="BodyEN"/>
      </w:pPr>
      <w:r>
        <w:rPr>
          <w:sz w:val="21"/>
        </w:rPr>
        <w:t>E0/ E1/ E2/ E3 Level of Determination.</w:t>
      </w:r>
    </w:p>
    <w:p w14:paraId="6589D4FF" w14:textId="77777777" w:rsidR="00F10BCA" w:rsidRDefault="00BD0B01">
      <w:pPr>
        <w:pStyle w:val="af"/>
      </w:pPr>
      <w:r>
        <w:rPr>
          <w:sz w:val="21"/>
        </w:rPr>
        <w:t>證據來源、證據摘要、證據信心水準與必要附件位置。</w:t>
      </w:r>
    </w:p>
    <w:p w14:paraId="73BD249F" w14:textId="77777777" w:rsidR="00F10BCA" w:rsidRDefault="00BD0B01">
      <w:pPr>
        <w:pStyle w:val="BodyEN"/>
      </w:pPr>
      <w:r>
        <w:rPr>
          <w:sz w:val="21"/>
        </w:rPr>
        <w:t>The source of the evidence, the summary of the evidence, the degree of confidence</w:t>
      </w:r>
      <w:r>
        <w:rPr>
          <w:sz w:val="21"/>
        </w:rPr>
        <w:t xml:space="preserve"> in the evidence and the location of the necessary annexes.</w:t>
      </w:r>
    </w:p>
    <w:p w14:paraId="3A32D229" w14:textId="77777777" w:rsidR="00F10BCA" w:rsidRDefault="00BD0B01">
      <w:pPr>
        <w:pStyle w:val="af"/>
      </w:pPr>
      <w:r>
        <w:rPr>
          <w:sz w:val="21"/>
        </w:rPr>
        <w:t>是否為</w:t>
      </w:r>
      <w:r>
        <w:rPr>
          <w:sz w:val="21"/>
        </w:rPr>
        <w:t xml:space="preserve"> CRA </w:t>
      </w:r>
      <w:r>
        <w:rPr>
          <w:sz w:val="21"/>
        </w:rPr>
        <w:t>觸發候選案件，以及</w:t>
      </w:r>
      <w:r>
        <w:rPr>
          <w:sz w:val="21"/>
        </w:rPr>
        <w:t xml:space="preserve"> CRA awareness time </w:t>
      </w:r>
      <w:r>
        <w:rPr>
          <w:sz w:val="21"/>
        </w:rPr>
        <w:t>之起算依據。</w:t>
      </w:r>
    </w:p>
    <w:p w14:paraId="4AB54609" w14:textId="77777777" w:rsidR="00F10BCA" w:rsidRDefault="00BD0B01">
      <w:pPr>
        <w:pStyle w:val="BodyEN"/>
      </w:pPr>
      <w:r>
        <w:rPr>
          <w:sz w:val="21"/>
        </w:rPr>
        <w:t>Whether or not the CRA triggers the election and the basis for the start of the CRA election time.</w:t>
      </w:r>
    </w:p>
    <w:p w14:paraId="274CAAA0" w14:textId="77777777" w:rsidR="00F10BCA" w:rsidRDefault="00BD0B01">
      <w:pPr>
        <w:pStyle w:val="af"/>
      </w:pPr>
      <w:r>
        <w:rPr>
          <w:sz w:val="21"/>
        </w:rPr>
        <w:t>IEI</w:t>
      </w:r>
      <w:r>
        <w:rPr>
          <w:sz w:val="21"/>
        </w:rPr>
        <w:t>、</w:t>
      </w:r>
      <w:r>
        <w:rPr>
          <w:sz w:val="21"/>
        </w:rPr>
        <w:t xml:space="preserve">ODM/OEM </w:t>
      </w:r>
      <w:r>
        <w:rPr>
          <w:sz w:val="21"/>
        </w:rPr>
        <w:t>客戶、品牌客戶、進口商、經銷商或其他供應鏈角色之通報責任判定。</w:t>
      </w:r>
    </w:p>
    <w:p w14:paraId="433A906B" w14:textId="77777777" w:rsidR="00F10BCA" w:rsidRDefault="00BD0B01">
      <w:pPr>
        <w:pStyle w:val="BodyEN"/>
      </w:pPr>
      <w:r>
        <w:rPr>
          <w:sz w:val="21"/>
        </w:rPr>
        <w:t>IEI, ODM/</w:t>
      </w:r>
      <w:r>
        <w:rPr>
          <w:sz w:val="21"/>
        </w:rPr>
        <w:t>OEM clients, brand customers, importers, distributors or other reporting responsibilities of supply chain players.</w:t>
      </w:r>
    </w:p>
    <w:p w14:paraId="38C33FF9" w14:textId="77777777" w:rsidR="00F10BCA" w:rsidRDefault="00BD0B01">
      <w:pPr>
        <w:pStyle w:val="af"/>
      </w:pPr>
      <w:r>
        <w:rPr>
          <w:sz w:val="21"/>
        </w:rPr>
        <w:t xml:space="preserve">PM </w:t>
      </w:r>
      <w:r>
        <w:rPr>
          <w:sz w:val="21"/>
        </w:rPr>
        <w:t>對產品範圍、客戶影響、支援狀態、</w:t>
      </w:r>
      <w:r>
        <w:rPr>
          <w:sz w:val="21"/>
        </w:rPr>
        <w:t>EOL/EOS</w:t>
      </w:r>
      <w:r>
        <w:rPr>
          <w:sz w:val="21"/>
        </w:rPr>
        <w:t>、</w:t>
      </w:r>
      <w:r>
        <w:rPr>
          <w:sz w:val="21"/>
        </w:rPr>
        <w:t>release path</w:t>
      </w:r>
      <w:r>
        <w:rPr>
          <w:sz w:val="21"/>
        </w:rPr>
        <w:t>、</w:t>
      </w:r>
      <w:r>
        <w:rPr>
          <w:sz w:val="21"/>
        </w:rPr>
        <w:t xml:space="preserve">EU </w:t>
      </w:r>
      <w:r>
        <w:rPr>
          <w:sz w:val="21"/>
        </w:rPr>
        <w:t>市場角色與客戶通報支援之輸入、時間與不確定性。</w:t>
      </w:r>
    </w:p>
    <w:p w14:paraId="357A0AE6" w14:textId="77777777" w:rsidR="00F10BCA" w:rsidRDefault="00BD0B01">
      <w:pPr>
        <w:pStyle w:val="BodyEN"/>
      </w:pPr>
      <w:r>
        <w:rPr>
          <w:sz w:val="21"/>
        </w:rPr>
        <w:t xml:space="preserve">PM's input, time and uncertainty regarding product coverage, client </w:t>
      </w:r>
      <w:r>
        <w:rPr>
          <w:sz w:val="21"/>
        </w:rPr>
        <w:t>impact, support status, EOL/EOS, release path, EU market role and client support.</w:t>
      </w:r>
    </w:p>
    <w:p w14:paraId="2600F26C" w14:textId="77777777" w:rsidR="00F10BCA" w:rsidRDefault="00BD0B01">
      <w:pPr>
        <w:pStyle w:val="af"/>
      </w:pPr>
      <w:r>
        <w:rPr>
          <w:sz w:val="21"/>
        </w:rPr>
        <w:t>客戶通報支援資訊之提供時間、接收窗口、資訊範圍、敏感度限制與後續更新承諾。</w:t>
      </w:r>
    </w:p>
    <w:p w14:paraId="0D60DD0C" w14:textId="77777777" w:rsidR="00F10BCA" w:rsidRDefault="00BD0B01">
      <w:pPr>
        <w:pStyle w:val="BodyEN"/>
      </w:pPr>
      <w:r>
        <w:rPr>
          <w:sz w:val="21"/>
        </w:rPr>
        <w:t>Clients report on the timing of the provision of support information, the receiving window, the scope of information, the sensitivity li</w:t>
      </w:r>
      <w:r>
        <w:rPr>
          <w:sz w:val="21"/>
        </w:rPr>
        <w:t>mitations and subsequent updates.</w:t>
      </w:r>
    </w:p>
    <w:p w14:paraId="580CD798" w14:textId="77777777" w:rsidR="00F10BCA" w:rsidRDefault="00BD0B01">
      <w:pPr>
        <w:pStyle w:val="af"/>
      </w:pPr>
      <w:r>
        <w:rPr>
          <w:sz w:val="21"/>
        </w:rPr>
        <w:t>法</w:t>
      </w:r>
      <w:proofErr w:type="gramStart"/>
      <w:r>
        <w:rPr>
          <w:sz w:val="21"/>
        </w:rPr>
        <w:t>遵</w:t>
      </w:r>
      <w:proofErr w:type="gramEnd"/>
      <w:r>
        <w:rPr>
          <w:sz w:val="21"/>
        </w:rPr>
        <w:t>/</w:t>
      </w:r>
      <w:r>
        <w:rPr>
          <w:sz w:val="21"/>
        </w:rPr>
        <w:t>法務審查狀態、</w:t>
      </w:r>
      <w:r>
        <w:rPr>
          <w:sz w:val="21"/>
        </w:rPr>
        <w:t xml:space="preserve">PCC </w:t>
      </w:r>
      <w:r>
        <w:rPr>
          <w:sz w:val="21"/>
        </w:rPr>
        <w:t>決策、升級通知時間與相關責任人。</w:t>
      </w:r>
    </w:p>
    <w:p w14:paraId="7FB7D1EF" w14:textId="77777777" w:rsidR="00F10BCA" w:rsidRDefault="00BD0B01">
      <w:pPr>
        <w:pStyle w:val="BodyEN"/>
      </w:pPr>
      <w:r>
        <w:rPr>
          <w:sz w:val="21"/>
        </w:rPr>
        <w:t>Law Compliance/Law Review Status, PCC Decision, Promotion Notification Time and Relevant Duty.</w:t>
      </w:r>
    </w:p>
    <w:p w14:paraId="49FDB75C" w14:textId="77777777" w:rsidR="00F10BCA" w:rsidRDefault="00BD0B01">
      <w:pPr>
        <w:pStyle w:val="af"/>
      </w:pPr>
      <w:r>
        <w:rPr>
          <w:sz w:val="21"/>
        </w:rPr>
        <w:t>對外揭露限制、延後揭露理由、</w:t>
      </w:r>
      <w:r>
        <w:rPr>
          <w:sz w:val="21"/>
        </w:rPr>
        <w:t xml:space="preserve">NDA </w:t>
      </w:r>
      <w:r>
        <w:rPr>
          <w:sz w:val="21"/>
        </w:rPr>
        <w:t>或</w:t>
      </w:r>
      <w:r>
        <w:rPr>
          <w:sz w:val="21"/>
        </w:rPr>
        <w:t xml:space="preserve"> coordinated disclosure </w:t>
      </w:r>
      <w:r>
        <w:rPr>
          <w:sz w:val="21"/>
        </w:rPr>
        <w:t>條件。</w:t>
      </w:r>
    </w:p>
    <w:p w14:paraId="25700FE0" w14:textId="77777777" w:rsidR="00F10BCA" w:rsidRDefault="00BD0B01">
      <w:pPr>
        <w:pStyle w:val="BodyEN"/>
      </w:pPr>
      <w:r>
        <w:rPr>
          <w:sz w:val="21"/>
        </w:rPr>
        <w:t>This post is part of our special coverage Syria P</w:t>
      </w:r>
      <w:r>
        <w:rPr>
          <w:sz w:val="21"/>
        </w:rPr>
        <w:t>rotests 2011.</w:t>
      </w:r>
    </w:p>
    <w:p w14:paraId="571DDAD7" w14:textId="77777777" w:rsidR="00F10BCA" w:rsidRDefault="00BD0B01">
      <w:pPr>
        <w:pStyle w:val="Body"/>
      </w:pPr>
      <w:r>
        <w:rPr>
          <w:sz w:val="21"/>
        </w:rPr>
        <w:t>若案件判定為</w:t>
      </w:r>
      <w:r>
        <w:rPr>
          <w:sz w:val="21"/>
        </w:rPr>
        <w:t xml:space="preserve"> E2 </w:t>
      </w:r>
      <w:r>
        <w:rPr>
          <w:sz w:val="21"/>
        </w:rPr>
        <w:t>或</w:t>
      </w:r>
      <w:r>
        <w:rPr>
          <w:sz w:val="21"/>
        </w:rPr>
        <w:t xml:space="preserve"> E3</w:t>
      </w:r>
      <w:r>
        <w:rPr>
          <w:sz w:val="21"/>
        </w:rPr>
        <w:t>，</w:t>
      </w:r>
      <w:r>
        <w:rPr>
          <w:sz w:val="21"/>
        </w:rPr>
        <w:t xml:space="preserve">PSIRT </w:t>
      </w:r>
      <w:r>
        <w:rPr>
          <w:sz w:val="21"/>
        </w:rPr>
        <w:t>應於</w:t>
      </w:r>
      <w:r>
        <w:rPr>
          <w:sz w:val="21"/>
        </w:rPr>
        <w:t xml:space="preserve"> Jira </w:t>
      </w:r>
      <w:r>
        <w:rPr>
          <w:sz w:val="21"/>
        </w:rPr>
        <w:t>主案件中記錄判定理由、證據來源、證據信心水準、升級通知時間、法</w:t>
      </w:r>
      <w:proofErr w:type="gramStart"/>
      <w:r>
        <w:rPr>
          <w:sz w:val="21"/>
        </w:rPr>
        <w:t>遵</w:t>
      </w:r>
      <w:proofErr w:type="gramEnd"/>
      <w:r>
        <w:rPr>
          <w:sz w:val="21"/>
        </w:rPr>
        <w:t>會商狀態與</w:t>
      </w:r>
      <w:r>
        <w:rPr>
          <w:sz w:val="21"/>
        </w:rPr>
        <w:t xml:space="preserve"> PCC </w:t>
      </w:r>
      <w:r>
        <w:rPr>
          <w:sz w:val="21"/>
        </w:rPr>
        <w:t>決策。證據摘要應採摘要化與最小必要原則；可直接重現攻擊之</w:t>
      </w:r>
      <w:r>
        <w:rPr>
          <w:sz w:val="21"/>
        </w:rPr>
        <w:t xml:space="preserve"> exploit </w:t>
      </w:r>
      <w:r>
        <w:rPr>
          <w:sz w:val="21"/>
        </w:rPr>
        <w:t>細節、</w:t>
      </w:r>
      <w:r>
        <w:rPr>
          <w:sz w:val="21"/>
        </w:rPr>
        <w:t>payload</w:t>
      </w:r>
      <w:r>
        <w:rPr>
          <w:sz w:val="21"/>
        </w:rPr>
        <w:t>、客</w:t>
      </w:r>
      <w:r>
        <w:rPr>
          <w:sz w:val="21"/>
        </w:rPr>
        <w:lastRenderedPageBreak/>
        <w:t>戶環境敏感資訊或未公開修補差異，應放入受限附件或改由</w:t>
      </w:r>
      <w:r>
        <w:rPr>
          <w:sz w:val="21"/>
        </w:rPr>
        <w:t xml:space="preserve"> L3 </w:t>
      </w:r>
      <w:r>
        <w:rPr>
          <w:sz w:val="21"/>
        </w:rPr>
        <w:t>作業規範指定之保護位置保存。</w:t>
      </w:r>
    </w:p>
    <w:p w14:paraId="2F615B79" w14:textId="77777777" w:rsidR="00F10BCA" w:rsidRDefault="00BD0B01">
      <w:pPr>
        <w:pStyle w:val="BodyEN"/>
      </w:pPr>
      <w:r>
        <w:rPr>
          <w:sz w:val="21"/>
        </w:rPr>
        <w:t xml:space="preserve">If the case is found to be E2 or E3, PSIRT should record the reasons for the </w:t>
      </w:r>
      <w:r>
        <w:rPr>
          <w:sz w:val="21"/>
        </w:rPr>
        <w:t xml:space="preserve">decision, the source of the evidence, the evidence confidence, the timing of the upgrade, the legal compliance status and the PCC decision in the Jira main case. A summary of the evidence should be summarized and used as a minimum necessary principle; the </w:t>
      </w:r>
      <w:r>
        <w:rPr>
          <w:sz w:val="21"/>
        </w:rPr>
        <w:t>details of the attack, the payload, the client's environment sensitive information or the unrecovered discrepancy should be kept in restricted annexes or changed to a protected location designated by the L3 code.</w:t>
      </w:r>
    </w:p>
    <w:p w14:paraId="44FF03FA" w14:textId="77777777" w:rsidR="00F10BCA" w:rsidRDefault="00BD0B01">
      <w:pPr>
        <w:pStyle w:val="Body"/>
      </w:pPr>
      <w:r>
        <w:rPr>
          <w:sz w:val="21"/>
        </w:rPr>
        <w:t>具體</w:t>
      </w:r>
      <w:r>
        <w:rPr>
          <w:sz w:val="21"/>
        </w:rPr>
        <w:t xml:space="preserve"> Jira </w:t>
      </w:r>
      <w:r>
        <w:rPr>
          <w:sz w:val="21"/>
        </w:rPr>
        <w:t>欄位名稱、選項值、</w:t>
      </w:r>
      <w:proofErr w:type="gramStart"/>
      <w:r>
        <w:rPr>
          <w:sz w:val="21"/>
        </w:rPr>
        <w:t>必填條件</w:t>
      </w:r>
      <w:proofErr w:type="gramEnd"/>
      <w:r>
        <w:rPr>
          <w:sz w:val="21"/>
        </w:rPr>
        <w:t>、權限群組、</w:t>
      </w:r>
      <w:r>
        <w:rPr>
          <w:sz w:val="21"/>
        </w:rPr>
        <w:t>workflow</w:t>
      </w:r>
      <w:r>
        <w:rPr>
          <w:sz w:val="21"/>
        </w:rPr>
        <w:t>、畫面配置與填寫</w:t>
      </w:r>
      <w:r>
        <w:rPr>
          <w:sz w:val="21"/>
        </w:rPr>
        <w:t>範例，應由</w:t>
      </w:r>
      <w:r>
        <w:rPr>
          <w:sz w:val="21"/>
        </w:rPr>
        <w:t xml:space="preserve"> L3 </w:t>
      </w:r>
      <w:r>
        <w:rPr>
          <w:sz w:val="21"/>
        </w:rPr>
        <w:t>作業文件、</w:t>
      </w:r>
      <w:r>
        <w:rPr>
          <w:sz w:val="21"/>
        </w:rPr>
        <w:t xml:space="preserve">Jira </w:t>
      </w:r>
      <w:r>
        <w:rPr>
          <w:sz w:val="21"/>
        </w:rPr>
        <w:t>管理設定文件或案件範本定義；本</w:t>
      </w:r>
      <w:r>
        <w:rPr>
          <w:sz w:val="21"/>
        </w:rPr>
        <w:t xml:space="preserve"> L2 </w:t>
      </w:r>
      <w:r>
        <w:rPr>
          <w:sz w:val="21"/>
        </w:rPr>
        <w:t>文件僅規範程序層級之留痕要求。</w:t>
      </w:r>
    </w:p>
    <w:p w14:paraId="0648718E" w14:textId="77777777" w:rsidR="00F10BCA" w:rsidRDefault="00BD0B01">
      <w:pPr>
        <w:pStyle w:val="BodyEN"/>
      </w:pPr>
      <w:r>
        <w:rPr>
          <w:sz w:val="21"/>
        </w:rPr>
        <w:t>Specific Jira field names, option values, mandatory entries, restricted group groups, workflow, graphic configuration and fillout templates should be defined by L3 business files, Jira management, or ca</w:t>
      </w:r>
      <w:r>
        <w:rPr>
          <w:sz w:val="21"/>
        </w:rPr>
        <w:t>se templates; this L2 document only requires that the level of the application be kept.</w:t>
      </w:r>
    </w:p>
    <w:p w14:paraId="2438FEFF" w14:textId="77777777" w:rsidR="00F10BCA" w:rsidRDefault="00BD0B01">
      <w:pPr>
        <w:pStyle w:val="H2"/>
      </w:pPr>
      <w:r>
        <w:rPr>
          <w:sz w:val="21"/>
        </w:rPr>
        <w:t xml:space="preserve">10.3 </w:t>
      </w:r>
      <w:r>
        <w:rPr>
          <w:sz w:val="21"/>
        </w:rPr>
        <w:t>附件與敏感資料</w:t>
      </w:r>
    </w:p>
    <w:p w14:paraId="399B4F22" w14:textId="77777777" w:rsidR="00F10BCA" w:rsidRDefault="00BD0B01">
      <w:pPr>
        <w:pStyle w:val="H2EN"/>
      </w:pPr>
      <w:r>
        <w:rPr>
          <w:sz w:val="21"/>
        </w:rPr>
        <w:t>10.3 Attachments and Sensitive Data</w:t>
      </w:r>
    </w:p>
    <w:p w14:paraId="1637A4AB" w14:textId="77777777" w:rsidR="00F10BCA" w:rsidRDefault="00BD0B01">
      <w:pPr>
        <w:pStyle w:val="af"/>
      </w:pPr>
      <w:r>
        <w:rPr>
          <w:sz w:val="21"/>
        </w:rPr>
        <w:t xml:space="preserve">Jira </w:t>
      </w:r>
      <w:r>
        <w:rPr>
          <w:sz w:val="21"/>
        </w:rPr>
        <w:t>得保存與案件有關之郵件內容、</w:t>
      </w:r>
      <w:proofErr w:type="gramStart"/>
      <w:r>
        <w:rPr>
          <w:sz w:val="21"/>
        </w:rPr>
        <w:t>截圖</w:t>
      </w:r>
      <w:proofErr w:type="gramEnd"/>
      <w:r>
        <w:rPr>
          <w:sz w:val="21"/>
        </w:rPr>
        <w:t>、客戶帳號資訊與其他證據，但須依</w:t>
      </w:r>
      <w:r>
        <w:rPr>
          <w:sz w:val="21"/>
        </w:rPr>
        <w:t xml:space="preserve"> need-to-know </w:t>
      </w:r>
      <w:r>
        <w:rPr>
          <w:sz w:val="21"/>
        </w:rPr>
        <w:t>原則限制存取。</w:t>
      </w:r>
    </w:p>
    <w:p w14:paraId="6FB4FB60" w14:textId="77777777" w:rsidR="00F10BCA" w:rsidRDefault="00BD0B01">
      <w:pPr>
        <w:pStyle w:val="BodyEN"/>
      </w:pPr>
      <w:r>
        <w:rPr>
          <w:sz w:val="21"/>
        </w:rPr>
        <w:t>Jira has to save e-mails, intercepts, client account informa</w:t>
      </w:r>
      <w:r>
        <w:rPr>
          <w:sz w:val="21"/>
        </w:rPr>
        <w:t>tion and other evidence related to the case, but has to limit access according to the need-to-know principle.</w:t>
      </w:r>
    </w:p>
    <w:p w14:paraId="0D1C881E" w14:textId="77777777" w:rsidR="00F10BCA" w:rsidRDefault="00BD0B01">
      <w:pPr>
        <w:pStyle w:val="af"/>
      </w:pPr>
      <w:r>
        <w:rPr>
          <w:sz w:val="21"/>
        </w:rPr>
        <w:t>涉及個資、客戶聯絡方式、弱點細節或未公開修補資訊之附件，應使用適當權限群組與敏感度標記。</w:t>
      </w:r>
    </w:p>
    <w:p w14:paraId="1A9E8C4A" w14:textId="77777777" w:rsidR="00F10BCA" w:rsidRDefault="00BD0B01">
      <w:pPr>
        <w:pStyle w:val="BodyEN"/>
      </w:pPr>
      <w:r>
        <w:rPr>
          <w:sz w:val="21"/>
        </w:rPr>
        <w:t>An annex dealing with information, customer contact, weak details or unpublicized patching informatio</w:t>
      </w:r>
      <w:r>
        <w:rPr>
          <w:sz w:val="21"/>
        </w:rPr>
        <w:t>n should be marked with appropriate permission groups and sensitivity.</w:t>
      </w:r>
    </w:p>
    <w:p w14:paraId="4F78BEDC" w14:textId="77777777" w:rsidR="00F10BCA" w:rsidRDefault="00BD0B01">
      <w:pPr>
        <w:pStyle w:val="af"/>
      </w:pPr>
      <w:proofErr w:type="gramStart"/>
      <w:r>
        <w:rPr>
          <w:sz w:val="21"/>
        </w:rPr>
        <w:t>個</w:t>
      </w:r>
      <w:proofErr w:type="gramEnd"/>
      <w:r>
        <w:rPr>
          <w:sz w:val="21"/>
        </w:rPr>
        <w:t>資資料應依</w:t>
      </w:r>
      <w:r>
        <w:rPr>
          <w:sz w:val="21"/>
        </w:rPr>
        <w:t xml:space="preserve"> GDPR </w:t>
      </w:r>
      <w:r>
        <w:rPr>
          <w:sz w:val="21"/>
        </w:rPr>
        <w:t>原則處理，包括合法性、公平性與透明性、目的限制、資料最小化、正確性、保存限制、完整性與機密性，以及</w:t>
      </w:r>
      <w:proofErr w:type="gramStart"/>
      <w:r>
        <w:rPr>
          <w:sz w:val="21"/>
        </w:rPr>
        <w:t>可課責性</w:t>
      </w:r>
      <w:proofErr w:type="gramEnd"/>
      <w:r>
        <w:rPr>
          <w:sz w:val="21"/>
        </w:rPr>
        <w:t>；非案件處理、法</w:t>
      </w:r>
      <w:proofErr w:type="gramStart"/>
      <w:r>
        <w:rPr>
          <w:sz w:val="21"/>
        </w:rPr>
        <w:t>遵</w:t>
      </w:r>
      <w:proofErr w:type="gramEnd"/>
      <w:r>
        <w:rPr>
          <w:sz w:val="21"/>
        </w:rPr>
        <w:t>或稽核所必要之</w:t>
      </w:r>
      <w:proofErr w:type="gramStart"/>
      <w:r>
        <w:rPr>
          <w:sz w:val="21"/>
        </w:rPr>
        <w:t>個</w:t>
      </w:r>
      <w:proofErr w:type="gramEnd"/>
      <w:r>
        <w:rPr>
          <w:sz w:val="21"/>
        </w:rPr>
        <w:t>資，不得蒐集、保存或對外分享。</w:t>
      </w:r>
    </w:p>
    <w:p w14:paraId="663EDECD" w14:textId="77777777" w:rsidR="00F10BCA" w:rsidRDefault="00BD0B01">
      <w:pPr>
        <w:pStyle w:val="BodyEN"/>
      </w:pPr>
      <w:r>
        <w:rPr>
          <w:sz w:val="21"/>
        </w:rPr>
        <w:t>The data should be processed in accordance with the GDPR principles, including legitima</w:t>
      </w:r>
      <w:r>
        <w:rPr>
          <w:sz w:val="21"/>
        </w:rPr>
        <w:t>cy, fairness and transparency, purpose limitations, data minimization, accuracy, preservation restrictions, integrity and confidentiality, and accountability; resources that are not necessary for case processing, compliance or auditing, may not be collecte</w:t>
      </w:r>
      <w:r>
        <w:rPr>
          <w:sz w:val="21"/>
        </w:rPr>
        <w:t>d, preserved or shared externally.</w:t>
      </w:r>
    </w:p>
    <w:p w14:paraId="14F6595C" w14:textId="77777777" w:rsidR="00F10BCA" w:rsidRDefault="00BD0B01">
      <w:pPr>
        <w:pStyle w:val="af"/>
      </w:pPr>
      <w:r>
        <w:rPr>
          <w:sz w:val="21"/>
        </w:rPr>
        <w:t>若資料需轉出</w:t>
      </w:r>
      <w:r>
        <w:rPr>
          <w:sz w:val="21"/>
        </w:rPr>
        <w:t xml:space="preserve"> Jira</w:t>
      </w:r>
      <w:r>
        <w:rPr>
          <w:sz w:val="21"/>
        </w:rPr>
        <w:t>，應保留匯出紀錄、目的說明、接收對象、保護措施與法</w:t>
      </w:r>
      <w:proofErr w:type="gramStart"/>
      <w:r>
        <w:rPr>
          <w:sz w:val="21"/>
        </w:rPr>
        <w:t>遵</w:t>
      </w:r>
      <w:proofErr w:type="gramEnd"/>
      <w:r>
        <w:rPr>
          <w:sz w:val="21"/>
        </w:rPr>
        <w:t>審查結果。</w:t>
      </w:r>
    </w:p>
    <w:p w14:paraId="49CECDB4" w14:textId="77777777" w:rsidR="00F10BCA" w:rsidRDefault="00BD0B01">
      <w:pPr>
        <w:pStyle w:val="BodyEN"/>
      </w:pPr>
      <w:r>
        <w:rPr>
          <w:sz w:val="21"/>
        </w:rPr>
        <w:t>If the data is to be transferred out of Jira, the results of the export log, purpose statement, reception, protective measures and legal compliance review should be kept.</w:t>
      </w:r>
    </w:p>
    <w:p w14:paraId="1DB63D79" w14:textId="77777777" w:rsidR="00F10BCA" w:rsidRDefault="00BD0B01">
      <w:pPr>
        <w:pStyle w:val="H2"/>
      </w:pPr>
      <w:r>
        <w:rPr>
          <w:sz w:val="21"/>
        </w:rPr>
        <w:t xml:space="preserve">10.4 </w:t>
      </w:r>
      <w:r>
        <w:rPr>
          <w:sz w:val="21"/>
        </w:rPr>
        <w:t>保留</w:t>
      </w:r>
      <w:r>
        <w:rPr>
          <w:sz w:val="21"/>
        </w:rPr>
        <w:t>與稽核</w:t>
      </w:r>
    </w:p>
    <w:p w14:paraId="7360FE94" w14:textId="77777777" w:rsidR="00F10BCA" w:rsidRDefault="00BD0B01">
      <w:pPr>
        <w:pStyle w:val="H2EN"/>
      </w:pPr>
      <w:r>
        <w:rPr>
          <w:sz w:val="21"/>
        </w:rPr>
        <w:t>10.4 Retention and Audit</w:t>
      </w:r>
    </w:p>
    <w:p w14:paraId="6B1379BC" w14:textId="77777777" w:rsidR="00F10BCA" w:rsidRDefault="00BD0B01">
      <w:pPr>
        <w:pStyle w:val="Body"/>
      </w:pPr>
      <w:r>
        <w:rPr>
          <w:sz w:val="21"/>
        </w:rPr>
        <w:t xml:space="preserve">Jira </w:t>
      </w:r>
      <w:r>
        <w:rPr>
          <w:sz w:val="21"/>
        </w:rPr>
        <w:t>紀錄、公告與關鍵溝通證據應依公司紀錄保存政策、法</w:t>
      </w:r>
      <w:proofErr w:type="gramStart"/>
      <w:r>
        <w:rPr>
          <w:sz w:val="21"/>
        </w:rPr>
        <w:t>遵</w:t>
      </w:r>
      <w:proofErr w:type="gramEnd"/>
      <w:r>
        <w:rPr>
          <w:sz w:val="21"/>
        </w:rPr>
        <w:t>要求與本程序保存年限留存；若其他適用政策或合約要求較長保存</w:t>
      </w:r>
      <w:proofErr w:type="gramStart"/>
      <w:r>
        <w:rPr>
          <w:sz w:val="21"/>
        </w:rPr>
        <w:t>期間，</w:t>
      </w:r>
      <w:proofErr w:type="gramEnd"/>
      <w:r>
        <w:rPr>
          <w:sz w:val="21"/>
        </w:rPr>
        <w:t>應從其較長者。</w:t>
      </w:r>
    </w:p>
    <w:p w14:paraId="653218CE" w14:textId="77777777" w:rsidR="00F10BCA" w:rsidRDefault="00BD0B01">
      <w:pPr>
        <w:pStyle w:val="BodyEN"/>
      </w:pPr>
      <w:r>
        <w:rPr>
          <w:sz w:val="21"/>
        </w:rPr>
        <w:t xml:space="preserve">Jira records, announcements and key communication evidence should be retained in accordance with company record-keeping policies, legal compliance </w:t>
      </w:r>
      <w:r>
        <w:rPr>
          <w:sz w:val="21"/>
        </w:rPr>
        <w:t>requirements and the duration of this procedure; if other suitable policies or agreements require longer preservation periods, they should be the older.</w:t>
      </w:r>
    </w:p>
    <w:p w14:paraId="4DEE8C3F" w14:textId="77777777" w:rsidR="00F10BCA" w:rsidRDefault="00BD0B01">
      <w:pPr>
        <w:pStyle w:val="H2"/>
      </w:pPr>
      <w:r>
        <w:rPr>
          <w:sz w:val="21"/>
        </w:rPr>
        <w:t xml:space="preserve">10.5 Jira </w:t>
      </w:r>
      <w:r>
        <w:rPr>
          <w:sz w:val="21"/>
        </w:rPr>
        <w:t>資料保存政策</w:t>
      </w:r>
    </w:p>
    <w:p w14:paraId="53873EED" w14:textId="77777777" w:rsidR="00F10BCA" w:rsidRDefault="00BD0B01">
      <w:pPr>
        <w:pStyle w:val="H2EN"/>
      </w:pPr>
      <w:r>
        <w:rPr>
          <w:sz w:val="21"/>
        </w:rPr>
        <w:t>10.5 Jira Data Retention Policy</w:t>
      </w:r>
    </w:p>
    <w:p w14:paraId="0685F579" w14:textId="77777777" w:rsidR="00F10BCA" w:rsidRDefault="00BD0B01">
      <w:pPr>
        <w:pStyle w:val="af"/>
      </w:pPr>
      <w:r>
        <w:rPr>
          <w:sz w:val="21"/>
        </w:rPr>
        <w:lastRenderedPageBreak/>
        <w:t xml:space="preserve">CRA </w:t>
      </w:r>
      <w:r>
        <w:rPr>
          <w:sz w:val="21"/>
        </w:rPr>
        <w:t>相關案件之</w:t>
      </w:r>
      <w:r>
        <w:rPr>
          <w:sz w:val="21"/>
        </w:rPr>
        <w:t xml:space="preserve"> Jira </w:t>
      </w:r>
      <w:r>
        <w:rPr>
          <w:sz w:val="21"/>
        </w:rPr>
        <w:t>主案件、子任務、關鍵決策、對外通知紀錄、公告證據、修補或緩解證據、稽核紀錄與必</w:t>
      </w:r>
      <w:r>
        <w:rPr>
          <w:sz w:val="21"/>
        </w:rPr>
        <w:t>要附件，應自案件結案日起至少保存</w:t>
      </w:r>
      <w:r>
        <w:rPr>
          <w:sz w:val="21"/>
        </w:rPr>
        <w:t xml:space="preserve"> 10 </w:t>
      </w:r>
      <w:r>
        <w:rPr>
          <w:sz w:val="21"/>
        </w:rPr>
        <w:t>年；若適用法規、合約、客戶要求或訴訟保存要求訂有較長</w:t>
      </w:r>
      <w:proofErr w:type="gramStart"/>
      <w:r>
        <w:rPr>
          <w:sz w:val="21"/>
        </w:rPr>
        <w:t>期間，</w:t>
      </w:r>
      <w:proofErr w:type="gramEnd"/>
      <w:r>
        <w:rPr>
          <w:sz w:val="21"/>
        </w:rPr>
        <w:t>應從其較長者。</w:t>
      </w:r>
    </w:p>
    <w:p w14:paraId="5C26E198" w14:textId="77777777" w:rsidR="00F10BCA" w:rsidRDefault="00BD0B01">
      <w:pPr>
        <w:pStyle w:val="BodyEN"/>
      </w:pPr>
      <w:r>
        <w:rPr>
          <w:sz w:val="21"/>
        </w:rPr>
        <w:t xml:space="preserve">Jira, the main case, the sub-mission, the key decision, the record of the external notification, the announcement of evidence, the correction or abrogation of evidence, the audit record and the </w:t>
      </w:r>
      <w:r>
        <w:rPr>
          <w:sz w:val="21"/>
        </w:rPr>
        <w:t>necessary attachments, shall be kept for at least 10 years from the date of the conclusion of the case, and the older of the case if there is a longer time limit for the application of the law, a contract, a client's request or a preservation claim.</w:t>
      </w:r>
    </w:p>
    <w:p w14:paraId="5AA97EBA" w14:textId="77777777" w:rsidR="00F10BCA" w:rsidRDefault="00BD0B01">
      <w:pPr>
        <w:pStyle w:val="af"/>
      </w:pPr>
      <w:r>
        <w:rPr>
          <w:sz w:val="21"/>
        </w:rPr>
        <w:t>非</w:t>
      </w:r>
      <w:r>
        <w:rPr>
          <w:sz w:val="21"/>
        </w:rPr>
        <w:t xml:space="preserve"> CRA </w:t>
      </w:r>
      <w:r>
        <w:rPr>
          <w:sz w:val="21"/>
        </w:rPr>
        <w:t>相關案件應依風險與資料敏感度分級保存：</w:t>
      </w:r>
      <w:r>
        <w:rPr>
          <w:sz w:val="21"/>
        </w:rPr>
        <w:t xml:space="preserve">Critical / High </w:t>
      </w:r>
      <w:r>
        <w:rPr>
          <w:sz w:val="21"/>
        </w:rPr>
        <w:t>弱點案件自結案日起至少保存</w:t>
      </w:r>
      <w:r>
        <w:rPr>
          <w:sz w:val="21"/>
        </w:rPr>
        <w:t xml:space="preserve"> 5 </w:t>
      </w:r>
      <w:r>
        <w:rPr>
          <w:sz w:val="21"/>
        </w:rPr>
        <w:t>年；</w:t>
      </w:r>
      <w:r>
        <w:rPr>
          <w:sz w:val="21"/>
        </w:rPr>
        <w:t xml:space="preserve">Medium / Low </w:t>
      </w:r>
      <w:r>
        <w:rPr>
          <w:sz w:val="21"/>
        </w:rPr>
        <w:t>弱點案件自結案日起至少保存</w:t>
      </w:r>
      <w:r>
        <w:rPr>
          <w:sz w:val="21"/>
        </w:rPr>
        <w:t xml:space="preserve"> 3 </w:t>
      </w:r>
      <w:r>
        <w:rPr>
          <w:sz w:val="21"/>
        </w:rPr>
        <w:t>年；誤報、非</w:t>
      </w:r>
      <w:r>
        <w:rPr>
          <w:sz w:val="21"/>
        </w:rPr>
        <w:t xml:space="preserve"> IEI </w:t>
      </w:r>
      <w:r>
        <w:rPr>
          <w:sz w:val="21"/>
        </w:rPr>
        <w:t>產品、不可重現或不受理案件自結案日起至少保存</w:t>
      </w:r>
      <w:r>
        <w:rPr>
          <w:sz w:val="21"/>
        </w:rPr>
        <w:t xml:space="preserve"> 1 </w:t>
      </w:r>
      <w:r>
        <w:rPr>
          <w:sz w:val="21"/>
        </w:rPr>
        <w:t>年。</w:t>
      </w:r>
    </w:p>
    <w:p w14:paraId="336F7EBC" w14:textId="77777777" w:rsidR="00F10BCA" w:rsidRDefault="00BD0B01">
      <w:pPr>
        <w:pStyle w:val="BodyEN"/>
      </w:pPr>
      <w:r>
        <w:rPr>
          <w:sz w:val="21"/>
        </w:rPr>
        <w:t xml:space="preserve">Non-CRA related cases should be stored according to risk and data sensitivity: At least five years from the date of the closure of the </w:t>
      </w:r>
      <w:r>
        <w:rPr>
          <w:sz w:val="21"/>
        </w:rPr>
        <w:t>Crime / High Vulnerabilities case; at least three years from the date of closure of the Mediam / Low Vulnerabilities case; and at least one year from the date of closure of the misreported, non-IEI product, non-recurrence or inadmissibility case.</w:t>
      </w:r>
    </w:p>
    <w:p w14:paraId="575DD1FB" w14:textId="77777777" w:rsidR="00F10BCA" w:rsidRDefault="00BD0B01">
      <w:pPr>
        <w:pStyle w:val="af"/>
      </w:pPr>
      <w:r>
        <w:rPr>
          <w:sz w:val="21"/>
        </w:rPr>
        <w:t>若非</w:t>
      </w:r>
      <w:r>
        <w:rPr>
          <w:sz w:val="21"/>
        </w:rPr>
        <w:t xml:space="preserve"> CRA </w:t>
      </w:r>
      <w:r>
        <w:rPr>
          <w:sz w:val="21"/>
        </w:rPr>
        <w:t>案件</w:t>
      </w:r>
      <w:r>
        <w:rPr>
          <w:sz w:val="21"/>
        </w:rPr>
        <w:t>涉及合約、客戶爭議、客訴、法務保存要求、稽核待辦或其他法定義務，應依較長期間保存；</w:t>
      </w:r>
      <w:r>
        <w:rPr>
          <w:sz w:val="21"/>
        </w:rPr>
        <w:t xml:space="preserve">legal hold </w:t>
      </w:r>
      <w:r>
        <w:rPr>
          <w:sz w:val="21"/>
        </w:rPr>
        <w:t>期間不得刪除、封存或去識別化可能影響證據完整性之資料。</w:t>
      </w:r>
    </w:p>
    <w:p w14:paraId="454D624D" w14:textId="77777777" w:rsidR="00F10BCA" w:rsidRDefault="00BD0B01">
      <w:pPr>
        <w:pStyle w:val="BodyEN"/>
      </w:pPr>
      <w:r>
        <w:rPr>
          <w:sz w:val="21"/>
        </w:rPr>
        <w:t>If the CRA case does not involve contract, client dispute, client complaint, legal preservation requirements, audit to-do or other statutory obligation, it should be kept for l</w:t>
      </w:r>
      <w:r>
        <w:rPr>
          <w:sz w:val="21"/>
        </w:rPr>
        <w:t>onger periods; legal hold should not be deleted, blocked or de-identified for the duration of time that may affect the integrity of evidence.</w:t>
      </w:r>
    </w:p>
    <w:p w14:paraId="44C0EED3" w14:textId="77777777" w:rsidR="00F10BCA" w:rsidRDefault="00BD0B01">
      <w:pPr>
        <w:pStyle w:val="af"/>
      </w:pPr>
      <w:proofErr w:type="gramStart"/>
      <w:r>
        <w:rPr>
          <w:sz w:val="21"/>
        </w:rPr>
        <w:t>含個資</w:t>
      </w:r>
      <w:proofErr w:type="gramEnd"/>
      <w:r>
        <w:rPr>
          <w:sz w:val="21"/>
        </w:rPr>
        <w:t>、客戶聯絡資訊、未公開弱點細節、</w:t>
      </w:r>
      <w:r>
        <w:rPr>
          <w:sz w:val="21"/>
        </w:rPr>
        <w:t>PoC</w:t>
      </w:r>
      <w:r>
        <w:rPr>
          <w:sz w:val="21"/>
        </w:rPr>
        <w:t>、攻擊細節、</w:t>
      </w:r>
      <w:proofErr w:type="gramStart"/>
      <w:r>
        <w:rPr>
          <w:sz w:val="21"/>
        </w:rPr>
        <w:t>系統截圖或</w:t>
      </w:r>
      <w:proofErr w:type="gramEnd"/>
      <w:r>
        <w:rPr>
          <w:sz w:val="21"/>
        </w:rPr>
        <w:t>產品遙測資料之附件，應定期檢視其保存必要性；保存目的消失或保存期限屆滿後，應優先刪除原始附件，或改以摘要化、遮罩化、去識別化資料保存。</w:t>
      </w:r>
    </w:p>
    <w:p w14:paraId="3897001A" w14:textId="77777777" w:rsidR="00F10BCA" w:rsidRDefault="00BD0B01">
      <w:pPr>
        <w:pStyle w:val="BodyEN"/>
      </w:pPr>
      <w:r>
        <w:rPr>
          <w:sz w:val="21"/>
        </w:rPr>
        <w:t>An annex cont</w:t>
      </w:r>
      <w:r>
        <w:rPr>
          <w:sz w:val="21"/>
        </w:rPr>
        <w:t>aining information, client contact information, unpublicized details, PoC, attack details, system intercepts, or product remote data should be regularly reviewed for preservation; after the end of the preservation purpose or storage period, the original at</w:t>
      </w:r>
      <w:r>
        <w:rPr>
          <w:sz w:val="21"/>
        </w:rPr>
        <w:t>tachment should be deleted first or replaced with summary, masked, unrecognized data.</w:t>
      </w:r>
    </w:p>
    <w:p w14:paraId="13EBAB0F" w14:textId="77777777" w:rsidR="00F10BCA" w:rsidRDefault="00BD0B01">
      <w:pPr>
        <w:pStyle w:val="af"/>
      </w:pPr>
      <w:r>
        <w:rPr>
          <w:sz w:val="21"/>
        </w:rPr>
        <w:t>保存期限屆滿前，</w:t>
      </w:r>
      <w:r>
        <w:rPr>
          <w:sz w:val="21"/>
        </w:rPr>
        <w:t xml:space="preserve">PSIRT </w:t>
      </w:r>
      <w:r>
        <w:rPr>
          <w:sz w:val="21"/>
        </w:rPr>
        <w:t>與</w:t>
      </w:r>
      <w:r>
        <w:rPr>
          <w:sz w:val="21"/>
        </w:rPr>
        <w:t xml:space="preserve"> Jira </w:t>
      </w:r>
      <w:r>
        <w:rPr>
          <w:sz w:val="21"/>
        </w:rPr>
        <w:t>管理者應確認案件無重開、未完成公告、客戶爭議、法務</w:t>
      </w:r>
      <w:r>
        <w:rPr>
          <w:sz w:val="21"/>
        </w:rPr>
        <w:t xml:space="preserve"> hold </w:t>
      </w:r>
      <w:r>
        <w:rPr>
          <w:sz w:val="21"/>
        </w:rPr>
        <w:t>或稽核需求後，依公司資料刪除與銷毀程序刪除、封存或去識別化。</w:t>
      </w:r>
    </w:p>
    <w:p w14:paraId="530E081C" w14:textId="77777777" w:rsidR="00F10BCA" w:rsidRDefault="00BD0B01">
      <w:pPr>
        <w:pStyle w:val="BodyEN"/>
      </w:pPr>
      <w:r>
        <w:rPr>
          <w:sz w:val="21"/>
        </w:rPr>
        <w:t>PSIRT and the Jira manager should verify that the case is not reopened, that the announ</w:t>
      </w:r>
      <w:r>
        <w:rPr>
          <w:sz w:val="21"/>
        </w:rPr>
        <w:t>cement is not completed, that the client disputes, that the law holds, or that the audit needs it, then delete, block or identify the program with the company's data.</w:t>
      </w:r>
    </w:p>
    <w:p w14:paraId="5C59F3B6" w14:textId="77777777" w:rsidR="00F10BCA" w:rsidRDefault="00BD0B01">
      <w:pPr>
        <w:pStyle w:val="af"/>
      </w:pPr>
      <w:r>
        <w:rPr>
          <w:sz w:val="21"/>
        </w:rPr>
        <w:t xml:space="preserve">Jira </w:t>
      </w:r>
      <w:r>
        <w:rPr>
          <w:sz w:val="21"/>
        </w:rPr>
        <w:t>管理者應確保保存期間內資料具備可追溯性、完整性與必要存取紀錄；任何刪除、封存、去識別化、匯出、權限異動或保存例外，</w:t>
      </w:r>
      <w:proofErr w:type="gramStart"/>
      <w:r>
        <w:rPr>
          <w:sz w:val="21"/>
        </w:rPr>
        <w:t>均應留下</w:t>
      </w:r>
      <w:proofErr w:type="gramEnd"/>
      <w:r>
        <w:rPr>
          <w:sz w:val="21"/>
        </w:rPr>
        <w:t>可稽核紀錄，至少包含日期、執行人、核准人、處理</w:t>
      </w:r>
      <w:r>
        <w:rPr>
          <w:sz w:val="21"/>
        </w:rPr>
        <w:t>範圍與理由。</w:t>
      </w:r>
    </w:p>
    <w:p w14:paraId="01E76948" w14:textId="77777777" w:rsidR="00F10BCA" w:rsidRDefault="00BD0B01">
      <w:pPr>
        <w:pStyle w:val="BodyEN"/>
      </w:pPr>
      <w:r>
        <w:rPr>
          <w:sz w:val="21"/>
        </w:rPr>
        <w:t>Jira managers should ensure that data are retroactive, complete and accessible as necessary during the time of storage; any deletion, storage, de-recognition, export, authorization to move or save exceptions should leave an auditable record containi</w:t>
      </w:r>
      <w:r>
        <w:rPr>
          <w:sz w:val="21"/>
        </w:rPr>
        <w:t>ng, at a minimum, dates, implementers, approvers, ranges and reasons.</w:t>
      </w:r>
    </w:p>
    <w:p w14:paraId="25BEB2AB" w14:textId="77777777" w:rsidR="00F10BCA" w:rsidRDefault="00BD0B01">
      <w:pPr>
        <w:pStyle w:val="H1"/>
      </w:pPr>
      <w:r>
        <w:rPr>
          <w:sz w:val="21"/>
        </w:rPr>
        <w:t xml:space="preserve">11. </w:t>
      </w:r>
      <w:r>
        <w:rPr>
          <w:sz w:val="21"/>
        </w:rPr>
        <w:t>稽核與量測</w:t>
      </w:r>
      <w:r>
        <w:rPr>
          <w:sz w:val="21"/>
        </w:rPr>
        <w:t xml:space="preserve"> Audit and Metrics</w:t>
      </w:r>
    </w:p>
    <w:p w14:paraId="1FD916DA" w14:textId="77777777" w:rsidR="00F10BCA" w:rsidRDefault="00BD0B01">
      <w:pPr>
        <w:pStyle w:val="H1EN"/>
      </w:pPr>
      <w:r>
        <w:rPr>
          <w:sz w:val="21"/>
        </w:rPr>
        <w:t>11. Audit and Metrics</w:t>
      </w:r>
    </w:p>
    <w:p w14:paraId="664E73AC" w14:textId="77777777" w:rsidR="00F10BCA" w:rsidRDefault="00BD0B01">
      <w:pPr>
        <w:pStyle w:val="Body"/>
      </w:pPr>
      <w:r>
        <w:rPr>
          <w:sz w:val="21"/>
        </w:rPr>
        <w:t>至少應定期檢視下列指標：</w:t>
      </w:r>
    </w:p>
    <w:p w14:paraId="6AB87C73" w14:textId="77777777" w:rsidR="00F10BCA" w:rsidRDefault="00BD0B01">
      <w:pPr>
        <w:pStyle w:val="BodyEN"/>
      </w:pPr>
      <w:r>
        <w:rPr>
          <w:sz w:val="21"/>
        </w:rPr>
        <w:lastRenderedPageBreak/>
        <w:t xml:space="preserve">At least the following indicators should be regularly </w:t>
      </w:r>
      <w:proofErr w:type="gramStart"/>
      <w:r>
        <w:rPr>
          <w:sz w:val="21"/>
        </w:rPr>
        <w:t>viewed::</w:t>
      </w:r>
      <w:proofErr w:type="gramEnd"/>
      <w:r>
        <w:rPr>
          <w:sz w:val="21"/>
        </w:rPr>
        <w:t xml:space="preserve"> </w:t>
      </w:r>
    </w:p>
    <w:p w14:paraId="428B485B" w14:textId="77777777" w:rsidR="00F10BCA" w:rsidRDefault="00BD0B01">
      <w:pPr>
        <w:pStyle w:val="af"/>
      </w:pPr>
      <w:r>
        <w:rPr>
          <w:sz w:val="21"/>
        </w:rPr>
        <w:t>首次回覆時間</w:t>
      </w:r>
    </w:p>
    <w:p w14:paraId="74639935" w14:textId="77777777" w:rsidR="00F10BCA" w:rsidRDefault="00BD0B01">
      <w:pPr>
        <w:pStyle w:val="BodyEN"/>
      </w:pPr>
      <w:r>
        <w:rPr>
          <w:sz w:val="21"/>
        </w:rPr>
        <w:t>First reply time</w:t>
      </w:r>
    </w:p>
    <w:p w14:paraId="2BF97167" w14:textId="77777777" w:rsidR="00F10BCA" w:rsidRDefault="00BD0B01">
      <w:pPr>
        <w:pStyle w:val="af"/>
      </w:pPr>
      <w:r>
        <w:rPr>
          <w:sz w:val="21"/>
        </w:rPr>
        <w:t>啟動分析時間</w:t>
      </w:r>
    </w:p>
    <w:p w14:paraId="1B804CAB" w14:textId="77777777" w:rsidR="00F10BCA" w:rsidRDefault="00BD0B01">
      <w:pPr>
        <w:pStyle w:val="BodyEN"/>
      </w:pPr>
      <w:r>
        <w:rPr>
          <w:sz w:val="21"/>
        </w:rPr>
        <w:t>Start analysis time</w:t>
      </w:r>
    </w:p>
    <w:p w14:paraId="240A0434" w14:textId="77777777" w:rsidR="00F10BCA" w:rsidRDefault="00BD0B01">
      <w:pPr>
        <w:pStyle w:val="af"/>
      </w:pPr>
      <w:r>
        <w:rPr>
          <w:sz w:val="21"/>
        </w:rPr>
        <w:t>受理判定時間</w:t>
      </w:r>
    </w:p>
    <w:p w14:paraId="2F500EB1" w14:textId="77777777" w:rsidR="00F10BCA" w:rsidRDefault="00BD0B01">
      <w:pPr>
        <w:pStyle w:val="BodyEN"/>
      </w:pPr>
      <w:r>
        <w:rPr>
          <w:sz w:val="21"/>
        </w:rPr>
        <w:t>T</w:t>
      </w:r>
      <w:r>
        <w:rPr>
          <w:sz w:val="21"/>
        </w:rPr>
        <w:t>ime of admissibility decision</w:t>
      </w:r>
    </w:p>
    <w:p w14:paraId="2D5060F0" w14:textId="77777777" w:rsidR="00F10BCA" w:rsidRDefault="00BD0B01">
      <w:pPr>
        <w:pStyle w:val="af"/>
      </w:pPr>
      <w:r>
        <w:rPr>
          <w:sz w:val="21"/>
        </w:rPr>
        <w:t>可重現率與不受理原因分布</w:t>
      </w:r>
    </w:p>
    <w:p w14:paraId="7FA39958" w14:textId="77777777" w:rsidR="00F10BCA" w:rsidRDefault="00BD0B01">
      <w:pPr>
        <w:pStyle w:val="BodyEN"/>
      </w:pPr>
      <w:r>
        <w:rPr>
          <w:sz w:val="21"/>
        </w:rPr>
        <w:t>Recoverable rates and causes of non-admissibility</w:t>
      </w:r>
    </w:p>
    <w:p w14:paraId="423ED415" w14:textId="77777777" w:rsidR="00F10BCA" w:rsidRDefault="00BD0B01">
      <w:pPr>
        <w:pStyle w:val="af"/>
      </w:pPr>
      <w:r>
        <w:rPr>
          <w:sz w:val="21"/>
        </w:rPr>
        <w:t xml:space="preserve">SBOM/HBOM </w:t>
      </w:r>
      <w:r>
        <w:rPr>
          <w:sz w:val="21"/>
        </w:rPr>
        <w:t>可用性與完整性例外數</w:t>
      </w:r>
    </w:p>
    <w:p w14:paraId="7F5B0111" w14:textId="77777777" w:rsidR="00F10BCA" w:rsidRDefault="00BD0B01">
      <w:pPr>
        <w:pStyle w:val="BodyEN"/>
      </w:pPr>
      <w:r>
        <w:rPr>
          <w:sz w:val="21"/>
        </w:rPr>
        <w:t>SBOM/HBOM Usability and Integrity Exceptions</w:t>
      </w:r>
    </w:p>
    <w:p w14:paraId="6144E867" w14:textId="77777777" w:rsidR="00F10BCA" w:rsidRDefault="00BD0B01">
      <w:pPr>
        <w:pStyle w:val="af"/>
      </w:pPr>
      <w:r>
        <w:rPr>
          <w:sz w:val="21"/>
        </w:rPr>
        <w:t>定期</w:t>
      </w:r>
      <w:r>
        <w:rPr>
          <w:sz w:val="21"/>
        </w:rPr>
        <w:t xml:space="preserve"> security test/review plan </w:t>
      </w:r>
      <w:r>
        <w:rPr>
          <w:sz w:val="21"/>
        </w:rPr>
        <w:t>執行率</w:t>
      </w:r>
    </w:p>
    <w:p w14:paraId="2B94A1BE" w14:textId="77777777" w:rsidR="00F10BCA" w:rsidRDefault="00BD0B01">
      <w:pPr>
        <w:pStyle w:val="BodyEN"/>
      </w:pPr>
      <w:r>
        <w:rPr>
          <w:sz w:val="21"/>
        </w:rPr>
        <w:t>Regular security test/review plan implementation rate</w:t>
      </w:r>
    </w:p>
    <w:p w14:paraId="000DC633" w14:textId="77777777" w:rsidR="00F10BCA" w:rsidRDefault="00BD0B01">
      <w:pPr>
        <w:pStyle w:val="af"/>
      </w:pPr>
      <w:r>
        <w:rPr>
          <w:sz w:val="21"/>
        </w:rPr>
        <w:t>年度</w:t>
      </w:r>
      <w:proofErr w:type="gramStart"/>
      <w:r>
        <w:rPr>
          <w:sz w:val="21"/>
        </w:rPr>
        <w:t>產品資安風險</w:t>
      </w:r>
      <w:proofErr w:type="gramEnd"/>
      <w:r>
        <w:rPr>
          <w:sz w:val="21"/>
        </w:rPr>
        <w:t>重評</w:t>
      </w:r>
      <w:r>
        <w:rPr>
          <w:sz w:val="21"/>
        </w:rPr>
        <w:t>完成率</w:t>
      </w:r>
    </w:p>
    <w:p w14:paraId="2B7953A4" w14:textId="77777777" w:rsidR="00F10BCA" w:rsidRDefault="00BD0B01">
      <w:pPr>
        <w:pStyle w:val="BodyEN"/>
      </w:pPr>
      <w:r>
        <w:rPr>
          <w:sz w:val="21"/>
        </w:rPr>
        <w:t>The annual risk rating rate for product asset security</w:t>
      </w:r>
    </w:p>
    <w:p w14:paraId="688A8E7F" w14:textId="77777777" w:rsidR="00F10BCA" w:rsidRDefault="00BD0B01">
      <w:pPr>
        <w:pStyle w:val="af"/>
      </w:pPr>
      <w:r>
        <w:rPr>
          <w:sz w:val="21"/>
        </w:rPr>
        <w:t>監控來源涵蓋率與監控發現轉案率</w:t>
      </w:r>
    </w:p>
    <w:p w14:paraId="26899666" w14:textId="77777777" w:rsidR="00F10BCA" w:rsidRDefault="00BD0B01">
      <w:pPr>
        <w:pStyle w:val="BodyEN"/>
      </w:pPr>
      <w:r>
        <w:rPr>
          <w:sz w:val="21"/>
        </w:rPr>
        <w:t>Surveillance of source coverage and detection of diversion</w:t>
      </w:r>
    </w:p>
    <w:p w14:paraId="075B8EFD" w14:textId="77777777" w:rsidR="00F10BCA" w:rsidRDefault="00BD0B01">
      <w:pPr>
        <w:pStyle w:val="af"/>
      </w:pPr>
      <w:r>
        <w:rPr>
          <w:sz w:val="21"/>
        </w:rPr>
        <w:t>高風險案件修補完成時間</w:t>
      </w:r>
    </w:p>
    <w:p w14:paraId="5E8941C5" w14:textId="77777777" w:rsidR="00F10BCA" w:rsidRDefault="00BD0B01">
      <w:pPr>
        <w:pStyle w:val="BodyEN"/>
      </w:pPr>
      <w:r>
        <w:rPr>
          <w:sz w:val="21"/>
        </w:rPr>
        <w:t>Time to fix high-risk cases</w:t>
      </w:r>
    </w:p>
    <w:p w14:paraId="52AD15CE" w14:textId="77777777" w:rsidR="00F10BCA" w:rsidRDefault="00BD0B01">
      <w:pPr>
        <w:pStyle w:val="af"/>
      </w:pPr>
      <w:r>
        <w:rPr>
          <w:sz w:val="21"/>
        </w:rPr>
        <w:t>安全更新分發與套用問題回報</w:t>
      </w:r>
    </w:p>
    <w:p w14:paraId="552A679C" w14:textId="77777777" w:rsidR="00F10BCA" w:rsidRDefault="00BD0B01">
      <w:pPr>
        <w:pStyle w:val="BodyEN"/>
      </w:pPr>
      <w:r>
        <w:rPr>
          <w:sz w:val="21"/>
        </w:rPr>
        <w:t>Safety Update Distribution and Apply Problems Report.</w:t>
      </w:r>
    </w:p>
    <w:p w14:paraId="56D5BB77" w14:textId="77777777" w:rsidR="00F10BCA" w:rsidRDefault="00BD0B01">
      <w:pPr>
        <w:pStyle w:val="af"/>
      </w:pPr>
      <w:r>
        <w:rPr>
          <w:sz w:val="21"/>
        </w:rPr>
        <w:t>公告發布時間</w:t>
      </w:r>
    </w:p>
    <w:p w14:paraId="60859E5E" w14:textId="77777777" w:rsidR="00F10BCA" w:rsidRDefault="00BD0B01">
      <w:pPr>
        <w:pStyle w:val="BodyEN"/>
      </w:pPr>
      <w:r>
        <w:rPr>
          <w:sz w:val="21"/>
        </w:rPr>
        <w:t xml:space="preserve">The </w:t>
      </w:r>
      <w:r>
        <w:rPr>
          <w:sz w:val="21"/>
        </w:rPr>
        <w:t>announcement time.</w:t>
      </w:r>
    </w:p>
    <w:p w14:paraId="011969B3" w14:textId="77777777" w:rsidR="00F10BCA" w:rsidRDefault="00BD0B01">
      <w:pPr>
        <w:pStyle w:val="af"/>
      </w:pPr>
      <w:r>
        <w:rPr>
          <w:sz w:val="21"/>
        </w:rPr>
        <w:t xml:space="preserve">machine-readable advisory </w:t>
      </w:r>
      <w:r>
        <w:rPr>
          <w:sz w:val="21"/>
        </w:rPr>
        <w:t>適用案件發布率</w:t>
      </w:r>
    </w:p>
    <w:p w14:paraId="46F89A92" w14:textId="77777777" w:rsidR="00F10BCA" w:rsidRDefault="00BD0B01">
      <w:pPr>
        <w:pStyle w:val="BodyEN"/>
      </w:pPr>
      <w:r>
        <w:rPr>
          <w:sz w:val="21"/>
        </w:rPr>
        <w:t>competent application rate for cases</w:t>
      </w:r>
    </w:p>
    <w:p w14:paraId="4A4EA2C3" w14:textId="77777777" w:rsidR="00F10BCA" w:rsidRDefault="00BD0B01">
      <w:pPr>
        <w:pStyle w:val="af"/>
      </w:pPr>
      <w:r>
        <w:rPr>
          <w:sz w:val="21"/>
        </w:rPr>
        <w:t xml:space="preserve">CVE/EUVD </w:t>
      </w:r>
      <w:r>
        <w:rPr>
          <w:sz w:val="21"/>
        </w:rPr>
        <w:t>或其他弱點資料庫同步狀態</w:t>
      </w:r>
    </w:p>
    <w:p w14:paraId="45C70255" w14:textId="77777777" w:rsidR="00F10BCA" w:rsidRDefault="00BD0B01">
      <w:pPr>
        <w:pStyle w:val="BodyEN"/>
      </w:pPr>
      <w:r>
        <w:rPr>
          <w:sz w:val="21"/>
        </w:rPr>
        <w:t>Sync status of CVE/EUVD or other weak databases</w:t>
      </w:r>
    </w:p>
    <w:p w14:paraId="7EB15B81" w14:textId="77777777" w:rsidR="00F10BCA" w:rsidRDefault="00BD0B01">
      <w:pPr>
        <w:pStyle w:val="af"/>
      </w:pPr>
      <w:r>
        <w:rPr>
          <w:sz w:val="21"/>
        </w:rPr>
        <w:t>供應商依賴案件比例</w:t>
      </w:r>
    </w:p>
    <w:p w14:paraId="751061E4" w14:textId="77777777" w:rsidR="00F10BCA" w:rsidRDefault="00BD0B01">
      <w:pPr>
        <w:pStyle w:val="BodyEN"/>
      </w:pPr>
      <w:r>
        <w:rPr>
          <w:sz w:val="21"/>
        </w:rPr>
        <w:t>Proportion of cases on which suppliers depend</w:t>
      </w:r>
    </w:p>
    <w:p w14:paraId="108855C0" w14:textId="77777777" w:rsidR="00F10BCA" w:rsidRDefault="00BD0B01">
      <w:pPr>
        <w:pStyle w:val="af"/>
      </w:pPr>
      <w:r>
        <w:rPr>
          <w:sz w:val="21"/>
        </w:rPr>
        <w:t xml:space="preserve">ODM/OEM </w:t>
      </w:r>
      <w:r>
        <w:rPr>
          <w:sz w:val="21"/>
        </w:rPr>
        <w:t>協調案件比例</w:t>
      </w:r>
    </w:p>
    <w:p w14:paraId="594E6C35" w14:textId="77777777" w:rsidR="00F10BCA" w:rsidRDefault="00BD0B01">
      <w:pPr>
        <w:pStyle w:val="BodyEN"/>
      </w:pPr>
      <w:r>
        <w:rPr>
          <w:sz w:val="21"/>
        </w:rPr>
        <w:t xml:space="preserve">ODM/OEM </w:t>
      </w:r>
      <w:r>
        <w:rPr>
          <w:sz w:val="21"/>
        </w:rPr>
        <w:t>Percentage of Coordinated Cases</w:t>
      </w:r>
    </w:p>
    <w:p w14:paraId="309A15B5" w14:textId="77777777" w:rsidR="00F10BCA" w:rsidRDefault="00BD0B01">
      <w:pPr>
        <w:pStyle w:val="af"/>
      </w:pPr>
      <w:r>
        <w:rPr>
          <w:sz w:val="21"/>
        </w:rPr>
        <w:t>產品範圍確認時間、客戶</w:t>
      </w:r>
      <w:r>
        <w:rPr>
          <w:sz w:val="21"/>
        </w:rPr>
        <w:t xml:space="preserve">/ODM/OEM </w:t>
      </w:r>
      <w:r>
        <w:rPr>
          <w:sz w:val="21"/>
        </w:rPr>
        <w:t>影響範圍確認時間與</w:t>
      </w:r>
      <w:r>
        <w:rPr>
          <w:sz w:val="21"/>
        </w:rPr>
        <w:t xml:space="preserve"> EOL/EOS </w:t>
      </w:r>
      <w:r>
        <w:rPr>
          <w:sz w:val="21"/>
        </w:rPr>
        <w:t>判定完成率</w:t>
      </w:r>
    </w:p>
    <w:p w14:paraId="223F7C2D" w14:textId="77777777" w:rsidR="00F10BCA" w:rsidRDefault="00BD0B01">
      <w:pPr>
        <w:pStyle w:val="BodyEN"/>
      </w:pPr>
      <w:r>
        <w:rPr>
          <w:sz w:val="21"/>
        </w:rPr>
        <w:t>Product range time, client/ODM/OEM impact range time and EOL/EOS completion rate</w:t>
      </w:r>
    </w:p>
    <w:p w14:paraId="788B7F65" w14:textId="77777777" w:rsidR="00F10BCA" w:rsidRDefault="00BD0B01">
      <w:pPr>
        <w:pStyle w:val="af"/>
      </w:pPr>
      <w:r>
        <w:rPr>
          <w:sz w:val="21"/>
        </w:rPr>
        <w:t>修補發布路徑確認時間與結案後產品改善事項轉入</w:t>
      </w:r>
      <w:r>
        <w:rPr>
          <w:sz w:val="21"/>
        </w:rPr>
        <w:t xml:space="preserve"> roadmap </w:t>
      </w:r>
      <w:r>
        <w:rPr>
          <w:sz w:val="21"/>
        </w:rPr>
        <w:t>比率</w:t>
      </w:r>
    </w:p>
    <w:p w14:paraId="1AA3369C" w14:textId="77777777" w:rsidR="00F10BCA" w:rsidRDefault="00BD0B01">
      <w:pPr>
        <w:pStyle w:val="BodyEN"/>
      </w:pPr>
      <w:r>
        <w:rPr>
          <w:sz w:val="21"/>
        </w:rPr>
        <w:t>Fixing the distribution path to confirm the ratio of time and pos</w:t>
      </w:r>
      <w:r>
        <w:rPr>
          <w:sz w:val="21"/>
        </w:rPr>
        <w:t>t-closure product improvements to roadmap</w:t>
      </w:r>
    </w:p>
    <w:p w14:paraId="0272CE53" w14:textId="77777777" w:rsidR="00F10BCA" w:rsidRDefault="00BD0B01">
      <w:pPr>
        <w:pStyle w:val="af"/>
      </w:pPr>
      <w:r>
        <w:rPr>
          <w:sz w:val="21"/>
        </w:rPr>
        <w:t xml:space="preserve">E2 / E3 </w:t>
      </w:r>
      <w:r>
        <w:rPr>
          <w:sz w:val="21"/>
        </w:rPr>
        <w:t>案件數、補證完成時間與</w:t>
      </w:r>
      <w:r>
        <w:rPr>
          <w:sz w:val="21"/>
        </w:rPr>
        <w:t xml:space="preserve"> E3 </w:t>
      </w:r>
      <w:r>
        <w:rPr>
          <w:sz w:val="21"/>
        </w:rPr>
        <w:t>升級時間</w:t>
      </w:r>
    </w:p>
    <w:p w14:paraId="0961FCDB" w14:textId="77777777" w:rsidR="00F10BCA" w:rsidRDefault="00BD0B01">
      <w:pPr>
        <w:pStyle w:val="BodyEN"/>
      </w:pPr>
      <w:r>
        <w:rPr>
          <w:sz w:val="21"/>
        </w:rPr>
        <w:t>E2 / E3 Number of cases, Completion time for supporting and E3 upgrade</w:t>
      </w:r>
    </w:p>
    <w:p w14:paraId="0F2E019B" w14:textId="77777777" w:rsidR="00F10BCA" w:rsidRDefault="00BD0B01">
      <w:pPr>
        <w:pStyle w:val="af"/>
      </w:pPr>
      <w:r>
        <w:rPr>
          <w:sz w:val="21"/>
        </w:rPr>
        <w:t xml:space="preserve">CRA </w:t>
      </w:r>
      <w:r>
        <w:rPr>
          <w:sz w:val="21"/>
        </w:rPr>
        <w:t>通報案件數與通報時限符合率</w:t>
      </w:r>
    </w:p>
    <w:p w14:paraId="73004993" w14:textId="77777777" w:rsidR="00F10BCA" w:rsidRDefault="00BD0B01">
      <w:pPr>
        <w:pStyle w:val="BodyEN"/>
      </w:pPr>
      <w:r>
        <w:rPr>
          <w:sz w:val="21"/>
        </w:rPr>
        <w:lastRenderedPageBreak/>
        <w:t>CRA Compliance rate for reported cases and time limits</w:t>
      </w:r>
    </w:p>
    <w:p w14:paraId="6D1378C9" w14:textId="77777777" w:rsidR="00F10BCA" w:rsidRDefault="00BD0B01">
      <w:pPr>
        <w:pStyle w:val="af"/>
      </w:pPr>
      <w:r>
        <w:rPr>
          <w:sz w:val="21"/>
        </w:rPr>
        <w:t>重複通報率與</w:t>
      </w:r>
      <w:proofErr w:type="gramStart"/>
      <w:r>
        <w:rPr>
          <w:sz w:val="21"/>
        </w:rPr>
        <w:t>客訴再發</w:t>
      </w:r>
      <w:proofErr w:type="gramEnd"/>
      <w:r>
        <w:rPr>
          <w:sz w:val="21"/>
        </w:rPr>
        <w:t>率</w:t>
      </w:r>
    </w:p>
    <w:p w14:paraId="1F0D9A4D" w14:textId="77777777" w:rsidR="00F10BCA" w:rsidRDefault="00BD0B01">
      <w:pPr>
        <w:pStyle w:val="BodyEN"/>
      </w:pPr>
      <w:r>
        <w:rPr>
          <w:sz w:val="21"/>
        </w:rPr>
        <w:t>Repetition rate and repetition</w:t>
      </w:r>
      <w:r>
        <w:rPr>
          <w:sz w:val="21"/>
        </w:rPr>
        <w:t xml:space="preserve"> rate</w:t>
      </w:r>
    </w:p>
    <w:p w14:paraId="67E5495F" w14:textId="77777777" w:rsidR="00F10BCA" w:rsidRDefault="00BD0B01">
      <w:pPr>
        <w:pStyle w:val="Body"/>
      </w:pPr>
      <w:r>
        <w:rPr>
          <w:sz w:val="21"/>
        </w:rPr>
        <w:t>稽核檢查至少應確認：</w:t>
      </w:r>
    </w:p>
    <w:p w14:paraId="623CB3B3" w14:textId="77777777" w:rsidR="00F10BCA" w:rsidRDefault="00BD0B01">
      <w:pPr>
        <w:pStyle w:val="BodyEN"/>
      </w:pPr>
      <w:r>
        <w:rPr>
          <w:sz w:val="21"/>
        </w:rPr>
        <w:t xml:space="preserve">Audit checks should at least confirm: </w:t>
      </w:r>
    </w:p>
    <w:p w14:paraId="4DC6D356" w14:textId="77777777" w:rsidR="00F10BCA" w:rsidRDefault="00BD0B01">
      <w:pPr>
        <w:pStyle w:val="af"/>
      </w:pPr>
      <w:r>
        <w:rPr>
          <w:sz w:val="21"/>
        </w:rPr>
        <w:t>是否所有案件皆有</w:t>
      </w:r>
      <w:r>
        <w:rPr>
          <w:sz w:val="21"/>
        </w:rPr>
        <w:t xml:space="preserve"> Jira </w:t>
      </w:r>
      <w:r>
        <w:rPr>
          <w:sz w:val="21"/>
        </w:rPr>
        <w:t>主案件與關鍵決策紀錄。</w:t>
      </w:r>
    </w:p>
    <w:p w14:paraId="5FA66700" w14:textId="77777777" w:rsidR="00F10BCA" w:rsidRDefault="00BD0B01">
      <w:pPr>
        <w:pStyle w:val="BodyEN"/>
      </w:pPr>
      <w:r>
        <w:rPr>
          <w:sz w:val="21"/>
        </w:rPr>
        <w:t>Whether all cases are documented in Jira's main case and key decisions.</w:t>
      </w:r>
    </w:p>
    <w:p w14:paraId="0DCA6643" w14:textId="77777777" w:rsidR="00F10BCA" w:rsidRDefault="00BD0B01">
      <w:pPr>
        <w:pStyle w:val="af"/>
      </w:pPr>
      <w:r>
        <w:rPr>
          <w:sz w:val="21"/>
        </w:rPr>
        <w:t>是否遵循公開時限與內部升級機制。</w:t>
      </w:r>
    </w:p>
    <w:p w14:paraId="28C1C41A" w14:textId="77777777" w:rsidR="00F10BCA" w:rsidRDefault="00BD0B01">
      <w:pPr>
        <w:pStyle w:val="BodyEN"/>
      </w:pPr>
      <w:r>
        <w:rPr>
          <w:sz w:val="21"/>
        </w:rPr>
        <w:t>This post is part of our special coverage Syria Protests 2011.</w:t>
      </w:r>
    </w:p>
    <w:p w14:paraId="2C8CCFEB" w14:textId="77777777" w:rsidR="00F10BCA" w:rsidRDefault="00BD0B01">
      <w:pPr>
        <w:pStyle w:val="af"/>
      </w:pPr>
      <w:r>
        <w:rPr>
          <w:sz w:val="21"/>
        </w:rPr>
        <w:t>是否存在未經核准之過早揭露。</w:t>
      </w:r>
    </w:p>
    <w:p w14:paraId="3111463C" w14:textId="77777777" w:rsidR="00F10BCA" w:rsidRDefault="00BD0B01">
      <w:pPr>
        <w:pStyle w:val="BodyEN"/>
      </w:pPr>
      <w:r>
        <w:rPr>
          <w:sz w:val="21"/>
        </w:rPr>
        <w:t>There is no unauthorized early disclosure.</w:t>
      </w:r>
    </w:p>
    <w:p w14:paraId="7EC039CB" w14:textId="77777777" w:rsidR="00F10BCA" w:rsidRDefault="00BD0B01">
      <w:pPr>
        <w:pStyle w:val="af"/>
      </w:pPr>
      <w:r>
        <w:rPr>
          <w:sz w:val="21"/>
        </w:rPr>
        <w:t>是否能追溯修補、驗證、公告與對外通知之一致性。</w:t>
      </w:r>
    </w:p>
    <w:p w14:paraId="2F762452" w14:textId="77777777" w:rsidR="00F10BCA" w:rsidRDefault="00BD0B01">
      <w:pPr>
        <w:pStyle w:val="BodyEN"/>
      </w:pPr>
      <w:r>
        <w:rPr>
          <w:sz w:val="21"/>
        </w:rPr>
        <w:t>Whether it is possible to retrospectively fix, validate, announce and match external notification.</w:t>
      </w:r>
    </w:p>
    <w:p w14:paraId="625C3621" w14:textId="77777777" w:rsidR="00F10BCA" w:rsidRDefault="00BD0B01">
      <w:pPr>
        <w:pStyle w:val="af"/>
      </w:pPr>
      <w:r>
        <w:rPr>
          <w:sz w:val="21"/>
        </w:rPr>
        <w:t>是否對</w:t>
      </w:r>
      <w:r>
        <w:rPr>
          <w:sz w:val="21"/>
        </w:rPr>
        <w:t xml:space="preserve"> Exploitation Status</w:t>
      </w:r>
      <w:r>
        <w:rPr>
          <w:sz w:val="21"/>
        </w:rPr>
        <w:t>、</w:t>
      </w:r>
      <w:r>
        <w:rPr>
          <w:sz w:val="21"/>
        </w:rPr>
        <w:t xml:space="preserve">CRA </w:t>
      </w:r>
      <w:r>
        <w:rPr>
          <w:sz w:val="21"/>
        </w:rPr>
        <w:t>通報判定與</w:t>
      </w:r>
      <w:proofErr w:type="gramStart"/>
      <w:r>
        <w:rPr>
          <w:sz w:val="21"/>
        </w:rPr>
        <w:t>送件留有</w:t>
      </w:r>
      <w:proofErr w:type="gramEnd"/>
      <w:r>
        <w:rPr>
          <w:sz w:val="21"/>
        </w:rPr>
        <w:t>客觀證據。</w:t>
      </w:r>
    </w:p>
    <w:p w14:paraId="06956FC0" w14:textId="77777777" w:rsidR="00F10BCA" w:rsidRDefault="00BD0B01">
      <w:pPr>
        <w:pStyle w:val="BodyEN"/>
      </w:pPr>
      <w:r>
        <w:rPr>
          <w:sz w:val="21"/>
        </w:rPr>
        <w:t>Whether the Exposition Status an</w:t>
      </w:r>
      <w:r>
        <w:rPr>
          <w:sz w:val="21"/>
        </w:rPr>
        <w:t>d CRA circulars leave objective evidence.</w:t>
      </w:r>
    </w:p>
    <w:p w14:paraId="2DECD179" w14:textId="77777777" w:rsidR="00F10BCA" w:rsidRDefault="00BD0B01">
      <w:pPr>
        <w:pStyle w:val="af"/>
      </w:pPr>
      <w:r>
        <w:rPr>
          <w:sz w:val="21"/>
        </w:rPr>
        <w:t>是否依產品風險建立並執行定期測試、審查、元件監控與發布後修補監控。</w:t>
      </w:r>
    </w:p>
    <w:p w14:paraId="712CD5B0" w14:textId="77777777" w:rsidR="00F10BCA" w:rsidRDefault="00BD0B01">
      <w:pPr>
        <w:pStyle w:val="BodyEN"/>
      </w:pPr>
      <w:r>
        <w:rPr>
          <w:sz w:val="21"/>
        </w:rPr>
        <w:t>Whether periodic tests, inspections, component surveillance and post-disbursement repair monitoring are established and conducted on the basis of product risks.</w:t>
      </w:r>
    </w:p>
    <w:p w14:paraId="600EACC2" w14:textId="77777777" w:rsidR="00F10BCA" w:rsidRDefault="00BD0B01">
      <w:pPr>
        <w:pStyle w:val="af"/>
      </w:pPr>
      <w:r>
        <w:rPr>
          <w:sz w:val="21"/>
        </w:rPr>
        <w:t>是否能追溯</w:t>
      </w:r>
      <w:r>
        <w:rPr>
          <w:sz w:val="21"/>
        </w:rPr>
        <w:t xml:space="preserve"> PM </w:t>
      </w:r>
      <w:r>
        <w:rPr>
          <w:sz w:val="21"/>
        </w:rPr>
        <w:t>對產品範圍、客戶影響</w:t>
      </w:r>
      <w:r>
        <w:rPr>
          <w:sz w:val="21"/>
        </w:rPr>
        <w:t>、</w:t>
      </w:r>
      <w:r>
        <w:rPr>
          <w:sz w:val="21"/>
        </w:rPr>
        <w:t>EOL/EOS</w:t>
      </w:r>
      <w:r>
        <w:rPr>
          <w:sz w:val="21"/>
        </w:rPr>
        <w:t>、</w:t>
      </w:r>
      <w:r>
        <w:rPr>
          <w:sz w:val="21"/>
        </w:rPr>
        <w:t>release path</w:t>
      </w:r>
      <w:r>
        <w:rPr>
          <w:sz w:val="21"/>
        </w:rPr>
        <w:t>、</w:t>
      </w:r>
      <w:r>
        <w:rPr>
          <w:sz w:val="21"/>
        </w:rPr>
        <w:t xml:space="preserve">ODM/OEM </w:t>
      </w:r>
      <w:r>
        <w:rPr>
          <w:sz w:val="21"/>
        </w:rPr>
        <w:t>權責與結案後</w:t>
      </w:r>
      <w:r>
        <w:rPr>
          <w:sz w:val="21"/>
        </w:rPr>
        <w:t xml:space="preserve"> roadmap </w:t>
      </w:r>
      <w:r>
        <w:rPr>
          <w:sz w:val="21"/>
        </w:rPr>
        <w:t>追蹤之輸入。</w:t>
      </w:r>
    </w:p>
    <w:p w14:paraId="2E067701" w14:textId="77777777" w:rsidR="00F10BCA" w:rsidRDefault="00BD0B01">
      <w:pPr>
        <w:pStyle w:val="BodyEN"/>
      </w:pPr>
      <w:r>
        <w:rPr>
          <w:sz w:val="21"/>
        </w:rPr>
        <w:t>If you can trace PM's input to product range, client impact, EOL/EOS, release path, ODM/OEM and post-closure track.</w:t>
      </w:r>
    </w:p>
    <w:p w14:paraId="491023C0" w14:textId="77777777" w:rsidR="00F10BCA" w:rsidRDefault="00BD0B01">
      <w:pPr>
        <w:pStyle w:val="H1"/>
      </w:pPr>
      <w:r>
        <w:rPr>
          <w:sz w:val="21"/>
        </w:rPr>
        <w:t xml:space="preserve">12. </w:t>
      </w:r>
      <w:r>
        <w:rPr>
          <w:sz w:val="21"/>
        </w:rPr>
        <w:t>文件治理</w:t>
      </w:r>
      <w:proofErr w:type="gramStart"/>
      <w:r>
        <w:rPr>
          <w:sz w:val="21"/>
        </w:rPr>
        <w:t>與版控</w:t>
      </w:r>
      <w:proofErr w:type="gramEnd"/>
      <w:r>
        <w:rPr>
          <w:sz w:val="21"/>
        </w:rPr>
        <w:t xml:space="preserve"> Document Control</w:t>
      </w:r>
    </w:p>
    <w:p w14:paraId="0B38540C" w14:textId="77777777" w:rsidR="00F10BCA" w:rsidRDefault="00BD0B01">
      <w:pPr>
        <w:pStyle w:val="H1EN"/>
      </w:pPr>
      <w:r>
        <w:rPr>
          <w:sz w:val="21"/>
        </w:rPr>
        <w:t>12. Document Control</w:t>
      </w:r>
    </w:p>
    <w:tbl>
      <w:tblPr>
        <w:tblStyle w:val="a7"/>
        <w:tblW w:w="0" w:type="auto"/>
        <w:tblLook w:val="04A0" w:firstRow="1" w:lastRow="0" w:firstColumn="1" w:lastColumn="0" w:noHBand="0" w:noVBand="1"/>
      </w:tblPr>
      <w:tblGrid>
        <w:gridCol w:w="5228"/>
        <w:gridCol w:w="5228"/>
      </w:tblGrid>
      <w:tr w:rsidR="00F10BCA" w14:paraId="34281FFB" w14:textId="77777777">
        <w:tc>
          <w:tcPr>
            <w:tcW w:w="5233" w:type="dxa"/>
          </w:tcPr>
          <w:p w14:paraId="0AFCF4EE" w14:textId="77777777" w:rsidR="00F10BCA" w:rsidRDefault="00BD0B01">
            <w:r>
              <w:rPr>
                <w:b/>
              </w:rPr>
              <w:t>項目</w:t>
            </w:r>
          </w:p>
          <w:p w14:paraId="254CF427" w14:textId="77777777" w:rsidR="00F10BCA" w:rsidRDefault="00BD0B01">
            <w:r>
              <w:t>Item</w:t>
            </w:r>
          </w:p>
        </w:tc>
        <w:tc>
          <w:tcPr>
            <w:tcW w:w="5233" w:type="dxa"/>
          </w:tcPr>
          <w:p w14:paraId="143F3DA9" w14:textId="77777777" w:rsidR="00F10BCA" w:rsidRDefault="00BD0B01">
            <w:r>
              <w:rPr>
                <w:b/>
              </w:rPr>
              <w:t>內容</w:t>
            </w:r>
          </w:p>
          <w:p w14:paraId="592D266E" w14:textId="77777777" w:rsidR="00F10BCA" w:rsidRDefault="00BD0B01">
            <w:r>
              <w:t>Home</w:t>
            </w:r>
          </w:p>
        </w:tc>
      </w:tr>
      <w:tr w:rsidR="00F10BCA" w14:paraId="2196333F" w14:textId="77777777">
        <w:tc>
          <w:tcPr>
            <w:tcW w:w="5233" w:type="dxa"/>
          </w:tcPr>
          <w:p w14:paraId="025FA7BF" w14:textId="77777777" w:rsidR="00F10BCA" w:rsidRDefault="00BD0B01">
            <w:r>
              <w:t>文件擁有者</w:t>
            </w:r>
          </w:p>
          <w:p w14:paraId="2AB2E969" w14:textId="77777777" w:rsidR="00F10BCA" w:rsidRDefault="00BD0B01">
            <w:r>
              <w:t>Document Owner</w:t>
            </w:r>
          </w:p>
        </w:tc>
        <w:tc>
          <w:tcPr>
            <w:tcW w:w="5233" w:type="dxa"/>
          </w:tcPr>
          <w:p w14:paraId="2CB11C44" w14:textId="77777777" w:rsidR="00F10BCA" w:rsidRDefault="00BD0B01">
            <w:r>
              <w:t>IEI PSIRT</w:t>
            </w:r>
          </w:p>
        </w:tc>
      </w:tr>
      <w:tr w:rsidR="00F10BCA" w14:paraId="316107CE" w14:textId="77777777">
        <w:tc>
          <w:tcPr>
            <w:tcW w:w="5233" w:type="dxa"/>
          </w:tcPr>
          <w:p w14:paraId="1A38C9DC" w14:textId="77777777" w:rsidR="00F10BCA" w:rsidRDefault="00BD0B01">
            <w:r>
              <w:t>審閱者</w:t>
            </w:r>
          </w:p>
          <w:p w14:paraId="0FA4CBD3" w14:textId="77777777" w:rsidR="00F10BCA" w:rsidRDefault="00BD0B01">
            <w:r>
              <w:t>Examiner</w:t>
            </w:r>
          </w:p>
        </w:tc>
        <w:tc>
          <w:tcPr>
            <w:tcW w:w="5233" w:type="dxa"/>
          </w:tcPr>
          <w:p w14:paraId="402C1B65" w14:textId="77777777" w:rsidR="00F10BCA" w:rsidRDefault="00BD0B01">
            <w:r>
              <w:t>PCC</w:t>
            </w:r>
            <w:r>
              <w:t>、</w:t>
            </w:r>
            <w:r>
              <w:t>PSIRT</w:t>
            </w:r>
            <w:r>
              <w:t>、</w:t>
            </w:r>
            <w:r>
              <w:t>PM</w:t>
            </w:r>
            <w:r>
              <w:t>、</w:t>
            </w:r>
            <w:r>
              <w:t>RD</w:t>
            </w:r>
            <w:r>
              <w:t>、</w:t>
            </w:r>
            <w:r>
              <w:t>DQV/QA</w:t>
            </w:r>
            <w:r>
              <w:t>、法</w:t>
            </w:r>
            <w:proofErr w:type="gramStart"/>
            <w:r>
              <w:t>遵</w:t>
            </w:r>
            <w:proofErr w:type="gramEnd"/>
            <w:r>
              <w:t>/</w:t>
            </w:r>
            <w:r>
              <w:t>法務、業務</w:t>
            </w:r>
            <w:r>
              <w:t>/</w:t>
            </w:r>
            <w:r>
              <w:t>客服代表</w:t>
            </w:r>
          </w:p>
          <w:p w14:paraId="7723BEF0" w14:textId="77777777" w:rsidR="00F10BCA" w:rsidRDefault="00BD0B01">
            <w:r>
              <w:t>PCC, PSIRT, PM, RD, DQV/QA, Law Compliance/Law, Business/Customs Representative</w:t>
            </w:r>
          </w:p>
        </w:tc>
      </w:tr>
      <w:tr w:rsidR="00F10BCA" w14:paraId="2588D119" w14:textId="77777777">
        <w:tc>
          <w:tcPr>
            <w:tcW w:w="5233" w:type="dxa"/>
          </w:tcPr>
          <w:p w14:paraId="7275452C" w14:textId="77777777" w:rsidR="00F10BCA" w:rsidRDefault="00BD0B01">
            <w:r>
              <w:t>生效條件</w:t>
            </w:r>
          </w:p>
          <w:p w14:paraId="17EB92F0" w14:textId="77777777" w:rsidR="00F10BCA" w:rsidRDefault="00BD0B01">
            <w:r>
              <w:t>Entry into force conditions</w:t>
            </w:r>
          </w:p>
        </w:tc>
        <w:tc>
          <w:tcPr>
            <w:tcW w:w="5233" w:type="dxa"/>
          </w:tcPr>
          <w:p w14:paraId="4370AEAB" w14:textId="77777777" w:rsidR="00F10BCA" w:rsidRDefault="00BD0B01">
            <w:r>
              <w:t>完成跨部門審閱與管理階層核准後生效</w:t>
            </w:r>
          </w:p>
          <w:p w14:paraId="54E9B9C6" w14:textId="77777777" w:rsidR="00F10BCA" w:rsidRDefault="00BD0B01">
            <w:r>
              <w:t>After inter-ministerial review and management approval, effecti</w:t>
            </w:r>
            <w:r>
              <w:t>ve</w:t>
            </w:r>
          </w:p>
        </w:tc>
      </w:tr>
      <w:tr w:rsidR="00F10BCA" w14:paraId="44096B81" w14:textId="77777777">
        <w:tc>
          <w:tcPr>
            <w:tcW w:w="5233" w:type="dxa"/>
          </w:tcPr>
          <w:p w14:paraId="0CCA82B4" w14:textId="77777777" w:rsidR="00F10BCA" w:rsidRDefault="00BD0B01">
            <w:r>
              <w:t>修訂觸發</w:t>
            </w:r>
          </w:p>
          <w:p w14:paraId="5004E5F7" w14:textId="77777777" w:rsidR="00F10BCA" w:rsidRDefault="00BD0B01">
            <w:r>
              <w:t>Fix Trigger</w:t>
            </w:r>
          </w:p>
        </w:tc>
        <w:tc>
          <w:tcPr>
            <w:tcW w:w="5233" w:type="dxa"/>
          </w:tcPr>
          <w:p w14:paraId="66F725DF" w14:textId="77777777" w:rsidR="00F10BCA" w:rsidRDefault="00BD0B01">
            <w:r>
              <w:t>法規更新、重大事件教訓、支援政策調整、組織異動、稽核缺失改善</w:t>
            </w:r>
          </w:p>
          <w:p w14:paraId="3274C07E" w14:textId="77777777" w:rsidR="00F10BCA" w:rsidRDefault="00BD0B01">
            <w:r>
              <w:t xml:space="preserve">Update of laws, training on major events, adjustment of support policies, organization, </w:t>
            </w:r>
            <w:r>
              <w:lastRenderedPageBreak/>
              <w:t>improvement of audit deficiencies</w:t>
            </w:r>
          </w:p>
        </w:tc>
      </w:tr>
      <w:tr w:rsidR="00F10BCA" w14:paraId="64C16056" w14:textId="77777777">
        <w:tc>
          <w:tcPr>
            <w:tcW w:w="5233" w:type="dxa"/>
          </w:tcPr>
          <w:p w14:paraId="386E0383" w14:textId="77777777" w:rsidR="00F10BCA" w:rsidRDefault="00BD0B01">
            <w:r>
              <w:lastRenderedPageBreak/>
              <w:t>一致性要求</w:t>
            </w:r>
          </w:p>
          <w:p w14:paraId="6F8995A6" w14:textId="77777777" w:rsidR="00F10BCA" w:rsidRDefault="00BD0B01">
            <w:r>
              <w:t>Coherence requirements</w:t>
            </w:r>
          </w:p>
        </w:tc>
        <w:tc>
          <w:tcPr>
            <w:tcW w:w="5233" w:type="dxa"/>
          </w:tcPr>
          <w:p w14:paraId="0C3EF213" w14:textId="77777777" w:rsidR="00F10BCA" w:rsidRDefault="00BD0B01">
            <w:r>
              <w:t>應與公開漏洞披露政策、產品安全事件管理程序、產品安全更新管理程序及下階作業文件一致</w:t>
            </w:r>
          </w:p>
          <w:p w14:paraId="65D9849D" w14:textId="77777777" w:rsidR="00F10BCA" w:rsidRDefault="00BD0B01">
            <w:r>
              <w:t>Should be consistent with public disclosure policies, product safety incident management procedures, product safety update management procedures and next-stage business documents</w:t>
            </w:r>
          </w:p>
        </w:tc>
      </w:tr>
    </w:tbl>
    <w:p w14:paraId="6999B342" w14:textId="77777777" w:rsidR="00F10BCA" w:rsidRDefault="00BD0B01">
      <w:pPr>
        <w:pStyle w:val="H1"/>
      </w:pPr>
      <w:r>
        <w:rPr>
          <w:sz w:val="21"/>
        </w:rPr>
        <w:t xml:space="preserve">13. </w:t>
      </w:r>
      <w:r>
        <w:rPr>
          <w:sz w:val="21"/>
        </w:rPr>
        <w:t>修訂紀錄</w:t>
      </w:r>
      <w:r>
        <w:rPr>
          <w:sz w:val="21"/>
        </w:rPr>
        <w:t xml:space="preserve"> Revision History</w:t>
      </w:r>
    </w:p>
    <w:p w14:paraId="487EDA05" w14:textId="77777777" w:rsidR="00F10BCA" w:rsidRDefault="00BD0B01">
      <w:pPr>
        <w:pStyle w:val="H1EN"/>
      </w:pPr>
      <w:r>
        <w:rPr>
          <w:sz w:val="21"/>
        </w:rPr>
        <w:t>13. Revi</w:t>
      </w:r>
      <w:r>
        <w:rPr>
          <w:sz w:val="21"/>
        </w:rPr>
        <w:t>sion History</w:t>
      </w:r>
    </w:p>
    <w:tbl>
      <w:tblPr>
        <w:tblStyle w:val="a7"/>
        <w:tblW w:w="0" w:type="auto"/>
        <w:tblLook w:val="04A0" w:firstRow="1" w:lastRow="0" w:firstColumn="1" w:lastColumn="0" w:noHBand="0" w:noVBand="1"/>
      </w:tblPr>
      <w:tblGrid>
        <w:gridCol w:w="1698"/>
        <w:gridCol w:w="1687"/>
        <w:gridCol w:w="1924"/>
        <w:gridCol w:w="1727"/>
        <w:gridCol w:w="1709"/>
        <w:gridCol w:w="1711"/>
      </w:tblGrid>
      <w:tr w:rsidR="00F10BCA" w14:paraId="42E0B97F" w14:textId="77777777">
        <w:tc>
          <w:tcPr>
            <w:tcW w:w="1744" w:type="dxa"/>
          </w:tcPr>
          <w:p w14:paraId="457ED300" w14:textId="77777777" w:rsidR="00F10BCA" w:rsidRDefault="00BD0B01">
            <w:r>
              <w:rPr>
                <w:b/>
              </w:rPr>
              <w:t>版本</w:t>
            </w:r>
          </w:p>
          <w:p w14:paraId="2D717108" w14:textId="77777777" w:rsidR="00F10BCA" w:rsidRDefault="00BD0B01">
            <w:r>
              <w:t>Version</w:t>
            </w:r>
          </w:p>
        </w:tc>
        <w:tc>
          <w:tcPr>
            <w:tcW w:w="1744" w:type="dxa"/>
          </w:tcPr>
          <w:p w14:paraId="740A0510" w14:textId="77777777" w:rsidR="00F10BCA" w:rsidRDefault="00BD0B01">
            <w:r>
              <w:rPr>
                <w:b/>
              </w:rPr>
              <w:t>日期</w:t>
            </w:r>
          </w:p>
          <w:p w14:paraId="3F7129C1" w14:textId="77777777" w:rsidR="00F10BCA" w:rsidRDefault="00BD0B01">
            <w:r>
              <w:t>Date</w:t>
            </w:r>
          </w:p>
        </w:tc>
        <w:tc>
          <w:tcPr>
            <w:tcW w:w="1744" w:type="dxa"/>
          </w:tcPr>
          <w:p w14:paraId="735B9D2A" w14:textId="77777777" w:rsidR="00F10BCA" w:rsidRDefault="00BD0B01">
            <w:r>
              <w:rPr>
                <w:b/>
              </w:rPr>
              <w:t>修訂摘要</w:t>
            </w:r>
          </w:p>
          <w:p w14:paraId="1CA93C1C" w14:textId="77777777" w:rsidR="00F10BCA" w:rsidRDefault="00BD0B01">
            <w:r>
              <w:t>Modified Summary</w:t>
            </w:r>
          </w:p>
        </w:tc>
        <w:tc>
          <w:tcPr>
            <w:tcW w:w="1744" w:type="dxa"/>
          </w:tcPr>
          <w:p w14:paraId="2373CEB9" w14:textId="77777777" w:rsidR="00F10BCA" w:rsidRDefault="00BD0B01">
            <w:r>
              <w:rPr>
                <w:b/>
              </w:rPr>
              <w:t>修訂者</w:t>
            </w:r>
          </w:p>
          <w:p w14:paraId="2CCE4CCD" w14:textId="77777777" w:rsidR="00F10BCA" w:rsidRDefault="00BD0B01">
            <w:r>
              <w:t>Organisation</w:t>
            </w:r>
          </w:p>
        </w:tc>
        <w:tc>
          <w:tcPr>
            <w:tcW w:w="1744" w:type="dxa"/>
          </w:tcPr>
          <w:p w14:paraId="016513CB" w14:textId="77777777" w:rsidR="00F10BCA" w:rsidRDefault="00BD0B01">
            <w:r>
              <w:rPr>
                <w:b/>
              </w:rPr>
              <w:t>審閱者</w:t>
            </w:r>
          </w:p>
          <w:p w14:paraId="1DB4F285" w14:textId="77777777" w:rsidR="00F10BCA" w:rsidRDefault="00BD0B01">
            <w:r>
              <w:t>Examiner</w:t>
            </w:r>
          </w:p>
        </w:tc>
        <w:tc>
          <w:tcPr>
            <w:tcW w:w="1744" w:type="dxa"/>
          </w:tcPr>
          <w:p w14:paraId="41C88C65" w14:textId="77777777" w:rsidR="00F10BCA" w:rsidRDefault="00BD0B01">
            <w:r>
              <w:rPr>
                <w:b/>
              </w:rPr>
              <w:t>核准者</w:t>
            </w:r>
          </w:p>
          <w:p w14:paraId="45BEC6E3" w14:textId="77777777" w:rsidR="00F10BCA" w:rsidRDefault="00BD0B01">
            <w:r>
              <w:t>Approved</w:t>
            </w:r>
          </w:p>
        </w:tc>
      </w:tr>
      <w:tr w:rsidR="00F10BCA" w14:paraId="3FD5C24D" w14:textId="77777777">
        <w:tc>
          <w:tcPr>
            <w:tcW w:w="1744" w:type="dxa"/>
          </w:tcPr>
          <w:p w14:paraId="42391E78" w14:textId="77777777" w:rsidR="00F10BCA" w:rsidRDefault="00BD0B01">
            <w:r>
              <w:t>v0.4</w:t>
            </w:r>
          </w:p>
        </w:tc>
        <w:tc>
          <w:tcPr>
            <w:tcW w:w="1744" w:type="dxa"/>
          </w:tcPr>
          <w:p w14:paraId="2452B990" w14:textId="77777777" w:rsidR="00F10BCA" w:rsidRDefault="00BD0B01">
            <w:r>
              <w:t>2026-05-14</w:t>
            </w:r>
          </w:p>
        </w:tc>
        <w:tc>
          <w:tcPr>
            <w:tcW w:w="1744" w:type="dxa"/>
          </w:tcPr>
          <w:p w14:paraId="14A5863B" w14:textId="77777777" w:rsidR="00F10BCA" w:rsidRDefault="00BD0B01">
            <w:r>
              <w:t>補強</w:t>
            </w:r>
            <w:r>
              <w:t xml:space="preserve"> PM </w:t>
            </w:r>
            <w:r>
              <w:t>於受理、受理判定、產品影響分析、修補規劃、發布交付、揭露通知、</w:t>
            </w:r>
            <w:r>
              <w:t xml:space="preserve">CRA </w:t>
            </w:r>
            <w:r>
              <w:t>通報、結案改善、</w:t>
            </w:r>
            <w:r>
              <w:t xml:space="preserve">Jira </w:t>
            </w:r>
            <w:r>
              <w:t>留痕與量測之介入要求；移除資訊不足與待確認事項章節</w:t>
            </w:r>
          </w:p>
          <w:p w14:paraId="2D1B52C3" w14:textId="77777777" w:rsidR="00F10BCA" w:rsidRDefault="00BD0B01">
            <w:r>
              <w:t xml:space="preserve">Complementing PM ' s requests for admission, </w:t>
            </w:r>
            <w:r>
              <w:t xml:space="preserve">admissibility decisions, product impact analysis, repairing plans, delivery, disclosure notices, CRA reports, closure improvements, Jira ' s trails and </w:t>
            </w:r>
            <w:r>
              <w:lastRenderedPageBreak/>
              <w:t>measured interventions; removal of insufficient and pending information Chapter Section</w:t>
            </w:r>
          </w:p>
        </w:tc>
        <w:tc>
          <w:tcPr>
            <w:tcW w:w="1744" w:type="dxa"/>
          </w:tcPr>
          <w:p w14:paraId="0C42C7B4" w14:textId="77777777" w:rsidR="00F10BCA" w:rsidRDefault="00BD0B01">
            <w:r>
              <w:lastRenderedPageBreak/>
              <w:t>Stanley Huang</w:t>
            </w:r>
          </w:p>
        </w:tc>
        <w:tc>
          <w:tcPr>
            <w:tcW w:w="1744" w:type="dxa"/>
          </w:tcPr>
          <w:p w14:paraId="78F3F517" w14:textId="77777777" w:rsidR="00F10BCA" w:rsidRDefault="00F10BCA"/>
        </w:tc>
        <w:tc>
          <w:tcPr>
            <w:tcW w:w="1744" w:type="dxa"/>
          </w:tcPr>
          <w:p w14:paraId="420E761B" w14:textId="77777777" w:rsidR="00F10BCA" w:rsidRDefault="00F10BCA"/>
        </w:tc>
      </w:tr>
      <w:tr w:rsidR="00F10BCA" w14:paraId="58BF9755" w14:textId="77777777">
        <w:tc>
          <w:tcPr>
            <w:tcW w:w="1744" w:type="dxa"/>
          </w:tcPr>
          <w:p w14:paraId="068BCB4F" w14:textId="77777777" w:rsidR="00F10BCA" w:rsidRDefault="00BD0B01">
            <w:r>
              <w:t>v0.3</w:t>
            </w:r>
          </w:p>
        </w:tc>
        <w:tc>
          <w:tcPr>
            <w:tcW w:w="1744" w:type="dxa"/>
          </w:tcPr>
          <w:p w14:paraId="3C03462E" w14:textId="77777777" w:rsidR="00F10BCA" w:rsidRDefault="00BD0B01">
            <w:r>
              <w:t>2026-05-08</w:t>
            </w:r>
          </w:p>
        </w:tc>
        <w:tc>
          <w:tcPr>
            <w:tcW w:w="1744" w:type="dxa"/>
          </w:tcPr>
          <w:p w14:paraId="64A81A31" w14:textId="77777777" w:rsidR="00F10BCA" w:rsidRDefault="00BD0B01">
            <w:r>
              <w:t>依</w:t>
            </w:r>
            <w:r>
              <w:t xml:space="preserve"> prEN 40000-1-3 </w:t>
            </w:r>
            <w:r>
              <w:t>補強適用標準、</w:t>
            </w:r>
            <w:proofErr w:type="gramStart"/>
            <w:r>
              <w:t>風險式加嚴</w:t>
            </w:r>
            <w:proofErr w:type="gramEnd"/>
            <w:r>
              <w:t>、準備能力、</w:t>
            </w:r>
            <w:r>
              <w:t>SBOM/HBOM</w:t>
            </w:r>
            <w:r>
              <w:t>、定期測試與審查、監控來源、</w:t>
            </w:r>
            <w:r>
              <w:t xml:space="preserve">CVD </w:t>
            </w:r>
            <w:r>
              <w:t>公開政策、安全更新、</w:t>
            </w:r>
            <w:r>
              <w:t>machine-readable advisory</w:t>
            </w:r>
            <w:r>
              <w:t>、</w:t>
            </w:r>
            <w:r>
              <w:t xml:space="preserve">EUVD </w:t>
            </w:r>
            <w:r>
              <w:t>同步與發布後修補監控要求</w:t>
            </w:r>
          </w:p>
          <w:p w14:paraId="2001AE95" w14:textId="77777777" w:rsidR="00F10BCA" w:rsidRDefault="00BD0B01">
            <w:r>
              <w:t xml:space="preserve">Complement applicable standards, risk escalation, preparedness, SBOM/HBOM, periodic testing and vetting, </w:t>
            </w:r>
            <w:r>
              <w:t>monitoring sources, CVD public policy, security updates, Machine-readable advisory, EUVD simultaneous and post-</w:t>
            </w:r>
            <w:r>
              <w:lastRenderedPageBreak/>
              <w:t>disbursement repair monitoring requirements</w:t>
            </w:r>
          </w:p>
        </w:tc>
        <w:tc>
          <w:tcPr>
            <w:tcW w:w="1744" w:type="dxa"/>
          </w:tcPr>
          <w:p w14:paraId="7B93495D" w14:textId="77777777" w:rsidR="00F10BCA" w:rsidRDefault="00BD0B01">
            <w:r>
              <w:lastRenderedPageBreak/>
              <w:t>Stanley Huang</w:t>
            </w:r>
          </w:p>
        </w:tc>
        <w:tc>
          <w:tcPr>
            <w:tcW w:w="1744" w:type="dxa"/>
          </w:tcPr>
          <w:p w14:paraId="5C7280AD" w14:textId="77777777" w:rsidR="00F10BCA" w:rsidRDefault="00F10BCA"/>
        </w:tc>
        <w:tc>
          <w:tcPr>
            <w:tcW w:w="1744" w:type="dxa"/>
          </w:tcPr>
          <w:p w14:paraId="2FBF4B7C" w14:textId="77777777" w:rsidR="00F10BCA" w:rsidRDefault="00F10BCA"/>
        </w:tc>
      </w:tr>
      <w:tr w:rsidR="00F10BCA" w14:paraId="44FF770A" w14:textId="77777777">
        <w:tc>
          <w:tcPr>
            <w:tcW w:w="1744" w:type="dxa"/>
          </w:tcPr>
          <w:p w14:paraId="491D7610" w14:textId="77777777" w:rsidR="00F10BCA" w:rsidRDefault="00BD0B01">
            <w:r>
              <w:t>v0.2</w:t>
            </w:r>
          </w:p>
        </w:tc>
        <w:tc>
          <w:tcPr>
            <w:tcW w:w="1744" w:type="dxa"/>
          </w:tcPr>
          <w:p w14:paraId="0A472A05" w14:textId="77777777" w:rsidR="00F10BCA" w:rsidRDefault="00BD0B01">
            <w:r>
              <w:t>2026-04-26</w:t>
            </w:r>
          </w:p>
        </w:tc>
        <w:tc>
          <w:tcPr>
            <w:tcW w:w="1744" w:type="dxa"/>
          </w:tcPr>
          <w:p w14:paraId="6723AC00" w14:textId="77777777" w:rsidR="00F10BCA" w:rsidRDefault="00BD0B01">
            <w:r>
              <w:t>納入已遭主動利用弱點</w:t>
            </w:r>
            <w:r>
              <w:t xml:space="preserve"> E0-E3 </w:t>
            </w:r>
            <w:r>
              <w:t>判定、可靠證據門檻、</w:t>
            </w:r>
            <w:r>
              <w:t xml:space="preserve">CRA </w:t>
            </w:r>
            <w:r>
              <w:t>起算與升級要求、流程圖與</w:t>
            </w:r>
            <w:r>
              <w:t xml:space="preserve"> Jira </w:t>
            </w:r>
            <w:r>
              <w:t>留痕要求</w:t>
            </w:r>
          </w:p>
          <w:p w14:paraId="5E8A5FF4" w14:textId="77777777" w:rsidR="00F10BCA" w:rsidRDefault="00BD0B01">
            <w:r>
              <w:t xml:space="preserve">Inclusion has </w:t>
            </w:r>
            <w:r>
              <w:t>been initiated using weakness E0-E3 determinations, reliable evidence portals, CRA start-up and upgrade requirements, flowcharts and Jira trail requirements</w:t>
            </w:r>
          </w:p>
        </w:tc>
        <w:tc>
          <w:tcPr>
            <w:tcW w:w="1744" w:type="dxa"/>
          </w:tcPr>
          <w:p w14:paraId="7D8FF951" w14:textId="77777777" w:rsidR="00F10BCA" w:rsidRDefault="00BD0B01">
            <w:r>
              <w:t>Stanley Huang</w:t>
            </w:r>
          </w:p>
        </w:tc>
        <w:tc>
          <w:tcPr>
            <w:tcW w:w="1744" w:type="dxa"/>
          </w:tcPr>
          <w:p w14:paraId="175C84ED" w14:textId="77777777" w:rsidR="00F10BCA" w:rsidRDefault="00F10BCA"/>
        </w:tc>
        <w:tc>
          <w:tcPr>
            <w:tcW w:w="1744" w:type="dxa"/>
          </w:tcPr>
          <w:p w14:paraId="53642C2C" w14:textId="77777777" w:rsidR="00F10BCA" w:rsidRDefault="00F10BCA"/>
        </w:tc>
      </w:tr>
      <w:tr w:rsidR="00F10BCA" w14:paraId="47564742" w14:textId="77777777">
        <w:tc>
          <w:tcPr>
            <w:tcW w:w="1744" w:type="dxa"/>
          </w:tcPr>
          <w:p w14:paraId="1786996B" w14:textId="77777777" w:rsidR="00F10BCA" w:rsidRDefault="00BD0B01">
            <w:r>
              <w:t>v0.1</w:t>
            </w:r>
          </w:p>
        </w:tc>
        <w:tc>
          <w:tcPr>
            <w:tcW w:w="1744" w:type="dxa"/>
          </w:tcPr>
          <w:p w14:paraId="21B86F18" w14:textId="77777777" w:rsidR="00F10BCA" w:rsidRDefault="00BD0B01">
            <w:r>
              <w:t>2026-04-19</w:t>
            </w:r>
          </w:p>
        </w:tc>
        <w:tc>
          <w:tcPr>
            <w:tcW w:w="1744" w:type="dxa"/>
          </w:tcPr>
          <w:p w14:paraId="3B8AC1A9" w14:textId="77777777" w:rsidR="00F10BCA" w:rsidRDefault="00BD0B01">
            <w:r>
              <w:t>依</w:t>
            </w:r>
            <w:r>
              <w:t xml:space="preserve"> IEI </w:t>
            </w:r>
            <w:r>
              <w:t>既有公開政策、</w:t>
            </w:r>
            <w:r>
              <w:t>CRA</w:t>
            </w:r>
            <w:r>
              <w:t>、</w:t>
            </w:r>
            <w:r>
              <w:t xml:space="preserve">ISO/IEC 29147 </w:t>
            </w:r>
            <w:r>
              <w:t>與</w:t>
            </w:r>
            <w:r>
              <w:t xml:space="preserve"> ISO/IEC 30111 </w:t>
            </w:r>
            <w:r>
              <w:t>草擬</w:t>
            </w:r>
            <w:r>
              <w:t xml:space="preserve"> L2 </w:t>
            </w:r>
            <w:r>
              <w:t>弱點處理與揭露程序；納入</w:t>
            </w:r>
            <w:r>
              <w:t xml:space="preserve"> </w:t>
            </w:r>
            <w:r>
              <w:t xml:space="preserve">Jira </w:t>
            </w:r>
            <w:r>
              <w:t>留痕、</w:t>
            </w:r>
            <w:r>
              <w:t xml:space="preserve">CRA </w:t>
            </w:r>
            <w:r>
              <w:t>通報、</w:t>
            </w:r>
            <w:r>
              <w:t xml:space="preserve">OEM/ODM </w:t>
            </w:r>
            <w:r>
              <w:t>協調與資訊缺口分析</w:t>
            </w:r>
          </w:p>
          <w:p w14:paraId="55345758" w14:textId="77777777" w:rsidR="00F10BCA" w:rsidRDefault="00BD0B01">
            <w:r>
              <w:t xml:space="preserve">Under IEI established public policy, CRA, ISO/IEC </w:t>
            </w:r>
            <w:r>
              <w:lastRenderedPageBreak/>
              <w:t>29147 and ISO/IEC 30111 basic L2 weakness treatment and disclosure program; inclusion of Jira marks, CRA bulletin, OEM/ODM coordination and information gap analysis</w:t>
            </w:r>
          </w:p>
        </w:tc>
        <w:tc>
          <w:tcPr>
            <w:tcW w:w="1744" w:type="dxa"/>
          </w:tcPr>
          <w:p w14:paraId="5407BAD6" w14:textId="77777777" w:rsidR="00F10BCA" w:rsidRDefault="00BD0B01">
            <w:r>
              <w:lastRenderedPageBreak/>
              <w:t xml:space="preserve">Stanley </w:t>
            </w:r>
            <w:r>
              <w:t>Huang</w:t>
            </w:r>
          </w:p>
        </w:tc>
        <w:tc>
          <w:tcPr>
            <w:tcW w:w="1744" w:type="dxa"/>
          </w:tcPr>
          <w:p w14:paraId="479784D9" w14:textId="77777777" w:rsidR="00F10BCA" w:rsidRDefault="00F10BCA"/>
        </w:tc>
        <w:tc>
          <w:tcPr>
            <w:tcW w:w="1744" w:type="dxa"/>
          </w:tcPr>
          <w:p w14:paraId="1AD06242" w14:textId="77777777" w:rsidR="00F10BCA" w:rsidRDefault="00F10BCA"/>
        </w:tc>
      </w:tr>
    </w:tbl>
    <w:p w14:paraId="53F87B2E" w14:textId="77777777" w:rsidR="00000000" w:rsidRDefault="00BD0B01"/>
    <w:sectPr w:rsidR="00000000" w:rsidSect="006E2A37">
      <w:headerReference w:type="even" r:id="rId9"/>
      <w:headerReference w:type="default" r:id="rId10"/>
      <w:footerReference w:type="even" r:id="rId11"/>
      <w:footerReference w:type="default" r:id="rId12"/>
      <w:headerReference w:type="first" r:id="rId13"/>
      <w:pgSz w:w="11906" w:h="16838" w:code="9"/>
      <w:pgMar w:top="720" w:right="720" w:bottom="720" w:left="720" w:header="851" w:footer="4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7CCE9" w14:textId="77777777" w:rsidR="00BD560B" w:rsidRDefault="00BD560B">
      <w:r>
        <w:separator/>
      </w:r>
    </w:p>
  </w:endnote>
  <w:endnote w:type="continuationSeparator" w:id="0">
    <w:p w14:paraId="43447C4D" w14:textId="77777777" w:rsidR="00BD560B" w:rsidRDefault="00BD5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2EADE" w14:textId="77777777" w:rsidR="000A4455" w:rsidRDefault="000A4455">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Pr>
        <w:rStyle w:val="a4"/>
        <w:noProof/>
      </w:rPr>
      <w:t>6</w:t>
    </w:r>
    <w:r>
      <w:rPr>
        <w:rStyle w:val="a4"/>
      </w:rPr>
      <w:fldChar w:fldCharType="end"/>
    </w:r>
  </w:p>
  <w:p w14:paraId="03D8F003" w14:textId="77777777" w:rsidR="000A4455" w:rsidRDefault="000A4455">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8B8C3" w14:textId="77777777" w:rsidR="000A4455" w:rsidRDefault="00372956">
    <w:pPr>
      <w:pStyle w:val="a3"/>
      <w:ind w:right="360"/>
      <w:jc w:val="right"/>
      <w:rPr>
        <w:rStyle w:val="a4"/>
        <w:i/>
      </w:rPr>
    </w:pPr>
    <w:r>
      <w:fldChar w:fldCharType="begin"/>
    </w:r>
    <w:r>
      <w:instrText xml:space="preserve"> PAGE </w:instrText>
    </w:r>
    <w:r>
      <w:fldChar w:fldCharType="separate"/>
    </w:r>
    <w:r w:rsidR="002015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D2ADA" w14:textId="77777777" w:rsidR="00BD560B" w:rsidRDefault="00BD560B">
      <w:r>
        <w:separator/>
      </w:r>
    </w:p>
  </w:footnote>
  <w:footnote w:type="continuationSeparator" w:id="0">
    <w:p w14:paraId="238CF36A" w14:textId="77777777" w:rsidR="00BD560B" w:rsidRDefault="00BD5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D5CB4" w14:textId="77777777" w:rsidR="00860677" w:rsidRDefault="00BD0B01">
    <w:pPr>
      <w:pStyle w:val="a5"/>
    </w:pPr>
    <w:r>
      <w:rPr>
        <w:noProof/>
      </w:rPr>
      <w:pict w14:anchorId="3AA861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91009" o:spid="_x0000_s2051" type="#_x0000_t75" style="position:absolute;margin-left:0;margin-top:0;width:489.5pt;height:598.75pt;z-index:-251658240;mso-position-horizontal:center;mso-position-horizontal-relative:margin;mso-position-vertical:center;mso-position-vertical-relative:margin" o:allowincell="f">
          <v:imagedata r:id="rId1" o:title="Controlled Copy ISO文件控管浮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920"/>
      <w:gridCol w:w="6613"/>
      <w:gridCol w:w="1949"/>
    </w:tblGrid>
    <w:tr w:rsidR="006E2A37" w14:paraId="4AAE88DB" w14:textId="77777777" w:rsidTr="00D62DBB">
      <w:trPr>
        <w:cantSplit/>
        <w:trHeight w:val="411"/>
      </w:trPr>
      <w:tc>
        <w:tcPr>
          <w:tcW w:w="1920" w:type="dxa"/>
          <w:vMerge w:val="restart"/>
          <w:shd w:val="clear" w:color="auto" w:fill="FFFFFF"/>
          <w:vAlign w:val="center"/>
        </w:tcPr>
        <w:p w14:paraId="5AE23947" w14:textId="77777777" w:rsidR="006E2A37" w:rsidRDefault="006E2A37" w:rsidP="006E2A37">
          <w:pPr>
            <w:pStyle w:val="a5"/>
            <w:spacing w:before="40" w:after="40"/>
            <w:jc w:val="center"/>
            <w:rPr>
              <w:rFonts w:ascii="標楷體" w:eastAsia="標楷體"/>
              <w:sz w:val="24"/>
            </w:rPr>
          </w:pPr>
          <w:r w:rsidRPr="004E01AF">
            <w:rPr>
              <w:noProof/>
            </w:rPr>
            <w:drawing>
              <wp:inline distT="0" distB="0" distL="0" distR="0" wp14:anchorId="68ADE3D7" wp14:editId="720AA21E">
                <wp:extent cx="1085850" cy="60325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03250"/>
                        </a:xfrm>
                        <a:prstGeom prst="rect">
                          <a:avLst/>
                        </a:prstGeom>
                        <a:noFill/>
                        <a:ln>
                          <a:noFill/>
                        </a:ln>
                      </pic:spPr>
                    </pic:pic>
                  </a:graphicData>
                </a:graphic>
              </wp:inline>
            </w:drawing>
          </w:r>
        </w:p>
      </w:tc>
      <w:tc>
        <w:tcPr>
          <w:tcW w:w="6613" w:type="dxa"/>
          <w:vMerge w:val="restart"/>
          <w:vAlign w:val="center"/>
        </w:tcPr>
        <w:p w14:paraId="33BC503B" w14:textId="77777777" w:rsidR="00186F42" w:rsidRDefault="00186F42" w:rsidP="006E2A37">
          <w:pPr>
            <w:pStyle w:val="a5"/>
            <w:jc w:val="center"/>
            <w:rPr>
              <w:rFonts w:eastAsia="標楷體"/>
              <w:sz w:val="44"/>
            </w:rPr>
          </w:pPr>
          <w:proofErr w:type="gramStart"/>
          <w:r w:rsidRPr="00186F42">
            <w:rPr>
              <w:rFonts w:eastAsia="標楷體" w:hint="eastAsia"/>
              <w:sz w:val="44"/>
            </w:rPr>
            <w:t>產品資安事件</w:t>
          </w:r>
          <w:proofErr w:type="gramEnd"/>
          <w:r w:rsidRPr="00186F42">
            <w:rPr>
              <w:rFonts w:eastAsia="標楷體" w:hint="eastAsia"/>
              <w:sz w:val="44"/>
            </w:rPr>
            <w:t>處理程序</w:t>
          </w:r>
        </w:p>
        <w:p w14:paraId="5A5EAF70" w14:textId="77777777" w:rsidR="006E2A37" w:rsidRPr="00656EE2" w:rsidRDefault="00945F87" w:rsidP="006E2A37">
          <w:pPr>
            <w:pStyle w:val="a5"/>
            <w:jc w:val="center"/>
            <w:rPr>
              <w:rFonts w:eastAsia="標楷體"/>
              <w:sz w:val="32"/>
              <w:szCs w:val="32"/>
            </w:rPr>
          </w:pPr>
          <w:r w:rsidRPr="00945F87">
            <w:rPr>
              <w:rFonts w:eastAsia="標楷體"/>
              <w:sz w:val="32"/>
              <w:szCs w:val="32"/>
            </w:rPr>
            <w:t>Vulnerability Handling and Disclosure Process</w:t>
          </w:r>
        </w:p>
      </w:tc>
      <w:tc>
        <w:tcPr>
          <w:tcW w:w="1949" w:type="dxa"/>
          <w:vAlign w:val="center"/>
        </w:tcPr>
        <w:p w14:paraId="7D7D4AE1" w14:textId="77777777" w:rsidR="006E2A37" w:rsidRDefault="006E2A37" w:rsidP="006E2A37">
          <w:pPr>
            <w:pStyle w:val="a5"/>
            <w:spacing w:before="40" w:after="40"/>
            <w:jc w:val="center"/>
            <w:rPr>
              <w:rFonts w:eastAsia="標楷體"/>
              <w:sz w:val="36"/>
            </w:rPr>
          </w:pPr>
          <w:r>
            <w:rPr>
              <w:rFonts w:eastAsia="標楷體"/>
              <w:sz w:val="36"/>
            </w:rPr>
            <w:t>QP-</w:t>
          </w:r>
          <w:r w:rsidR="00411617">
            <w:rPr>
              <w:rFonts w:eastAsia="標楷體" w:hint="eastAsia"/>
              <w:sz w:val="36"/>
            </w:rPr>
            <w:t>3</w:t>
          </w:r>
          <w:r w:rsidR="00411617">
            <w:rPr>
              <w:rFonts w:eastAsia="標楷體"/>
              <w:sz w:val="36"/>
            </w:rPr>
            <w:t>0</w:t>
          </w:r>
          <w:r>
            <w:rPr>
              <w:rFonts w:eastAsia="標楷體" w:hint="eastAsia"/>
              <w:sz w:val="36"/>
            </w:rPr>
            <w:t>-</w:t>
          </w:r>
          <w:r>
            <w:rPr>
              <w:rFonts w:eastAsia="標楷體"/>
              <w:sz w:val="36"/>
            </w:rPr>
            <w:t>01</w:t>
          </w:r>
        </w:p>
      </w:tc>
    </w:tr>
    <w:tr w:rsidR="006E2A37" w14:paraId="437C7386" w14:textId="77777777" w:rsidTr="00D62DBB">
      <w:trPr>
        <w:cantSplit/>
        <w:trHeight w:val="323"/>
      </w:trPr>
      <w:tc>
        <w:tcPr>
          <w:tcW w:w="1920" w:type="dxa"/>
          <w:vMerge/>
          <w:shd w:val="clear" w:color="auto" w:fill="FFFFFF"/>
          <w:vAlign w:val="center"/>
        </w:tcPr>
        <w:p w14:paraId="24C521C9" w14:textId="77777777" w:rsidR="006E2A37" w:rsidRDefault="006E2A37" w:rsidP="006E2A37">
          <w:pPr>
            <w:pStyle w:val="a5"/>
            <w:spacing w:before="40" w:after="40"/>
            <w:jc w:val="center"/>
          </w:pPr>
        </w:p>
      </w:tc>
      <w:tc>
        <w:tcPr>
          <w:tcW w:w="6613" w:type="dxa"/>
          <w:vMerge/>
          <w:vAlign w:val="center"/>
        </w:tcPr>
        <w:p w14:paraId="39ADE8E6" w14:textId="77777777" w:rsidR="006E2A37" w:rsidRDefault="006E2A37" w:rsidP="006E2A37">
          <w:pPr>
            <w:pStyle w:val="a5"/>
            <w:jc w:val="center"/>
            <w:rPr>
              <w:rFonts w:eastAsia="標楷體"/>
              <w:sz w:val="44"/>
            </w:rPr>
          </w:pPr>
        </w:p>
      </w:tc>
      <w:tc>
        <w:tcPr>
          <w:tcW w:w="1949" w:type="dxa"/>
          <w:vAlign w:val="center"/>
        </w:tcPr>
        <w:p w14:paraId="5FCC80F7" w14:textId="77777777" w:rsidR="006E2A37" w:rsidRPr="00FA0F2F" w:rsidRDefault="006E2A37" w:rsidP="006E2A37">
          <w:pPr>
            <w:pStyle w:val="a5"/>
            <w:spacing w:before="40" w:after="40"/>
            <w:jc w:val="center"/>
            <w:rPr>
              <w:rFonts w:eastAsia="標楷體"/>
              <w:sz w:val="36"/>
            </w:rPr>
          </w:pPr>
          <w:r>
            <w:rPr>
              <w:rFonts w:eastAsia="標楷體" w:hint="eastAsia"/>
              <w:sz w:val="36"/>
            </w:rPr>
            <w:t>V</w:t>
          </w:r>
          <w:r w:rsidR="00411617">
            <w:rPr>
              <w:rFonts w:eastAsia="標楷體"/>
              <w:sz w:val="36"/>
            </w:rPr>
            <w:t>1.0</w:t>
          </w:r>
        </w:p>
      </w:tc>
    </w:tr>
  </w:tbl>
  <w:p w14:paraId="1868B5D2" w14:textId="77777777" w:rsidR="000A4455" w:rsidRDefault="000A4455">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9D002" w14:textId="77777777" w:rsidR="00860677" w:rsidRDefault="00BD0B01">
    <w:pPr>
      <w:pStyle w:val="a5"/>
    </w:pPr>
    <w:r>
      <w:rPr>
        <w:noProof/>
      </w:rPr>
      <w:pict w14:anchorId="1CFA52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91008" o:spid="_x0000_s2050" type="#_x0000_t75" style="position:absolute;margin-left:0;margin-top:0;width:489.5pt;height:598.75pt;z-index:-251659264;mso-position-horizontal:center;mso-position-horizontal-relative:margin;mso-position-vertical:center;mso-position-vertical-relative:margin" o:allowincell="f">
          <v:imagedata r:id="rId1" o:title="Controlled Copy ISO文件控管浮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05A71"/>
    <w:multiLevelType w:val="multilevel"/>
    <w:tmpl w:val="0409001D"/>
    <w:styleLink w:val="10"/>
    <w:lvl w:ilvl="0">
      <w:start w:val="8"/>
      <w:numFmt w:val="decimal"/>
      <w:lvlText w:val="%1"/>
      <w:lvlJc w:val="left"/>
      <w:pPr>
        <w:ind w:left="425" w:hanging="425"/>
      </w:pPr>
    </w:lvl>
    <w:lvl w:ilvl="1">
      <w:numFmt w:val="decimal"/>
      <w:lvlText w:val="%1.%2"/>
      <w:lvlJc w:val="left"/>
      <w:pPr>
        <w:ind w:left="2694"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EDD5AAC"/>
    <w:multiLevelType w:val="multilevel"/>
    <w:tmpl w:val="0409001D"/>
    <w:styleLink w:val="6"/>
    <w:lvl w:ilvl="0">
      <w:start w:val="7"/>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1546D31"/>
    <w:multiLevelType w:val="multilevel"/>
    <w:tmpl w:val="84D68160"/>
    <w:lvl w:ilvl="0">
      <w:start w:val="1"/>
      <w:numFmt w:val="taiwaneseCountingThousand"/>
      <w:pStyle w:val="H1"/>
      <w:lvlText w:val="%1、"/>
      <w:lvlJc w:val="left"/>
      <w:pPr>
        <w:ind w:left="480" w:hanging="480"/>
      </w:pPr>
    </w:lvl>
    <w:lvl w:ilvl="1">
      <w:start w:val="1"/>
      <w:numFmt w:val="decimal"/>
      <w:pStyle w:val="H2"/>
      <w:isLgl/>
      <w:lvlText w:val="%1.%2"/>
      <w:lvlJc w:val="left"/>
      <w:pPr>
        <w:ind w:left="960" w:hanging="480"/>
      </w:pPr>
    </w:lvl>
    <w:lvl w:ilvl="2">
      <w:start w:val="1"/>
      <w:numFmt w:val="decimal"/>
      <w:pStyle w:val="H3"/>
      <w:isLgl/>
      <w:lvlText w:val="%1.%2.%3"/>
      <w:lvlJc w:val="left"/>
      <w:pPr>
        <w:ind w:left="1440" w:hanging="480"/>
      </w:pPr>
    </w:lvl>
    <w:lvl w:ilvl="3">
      <w:start w:val="1"/>
      <w:numFmt w:val="decimal"/>
      <w:pStyle w:val="H4"/>
      <w:isLgl/>
      <w:lvlText w:val="%1.%2.%3.%4"/>
      <w:lvlJc w:val="left"/>
      <w:pPr>
        <w:ind w:left="1920" w:hanging="480"/>
      </w:pPr>
    </w:lvl>
    <w:lvl w:ilvl="4">
      <w:start w:val="1"/>
      <w:numFmt w:val="decimal"/>
      <w:pStyle w:val="H5"/>
      <w:isLgl/>
      <w:lvlText w:val="%1.%2.%3.%4.%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3" w15:restartNumberingAfterBreak="0">
    <w:nsid w:val="158A74BB"/>
    <w:multiLevelType w:val="multilevel"/>
    <w:tmpl w:val="0409001D"/>
    <w:styleLink w:val="8"/>
    <w:lvl w:ilvl="0">
      <w:start w:val="7"/>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9EB11E0"/>
    <w:multiLevelType w:val="multilevel"/>
    <w:tmpl w:val="A83EC168"/>
    <w:lvl w:ilvl="0">
      <w:start w:val="1"/>
      <w:numFmt w:val="decimal"/>
      <w:pStyle w:val="1"/>
      <w:lvlText w:val="%1"/>
      <w:lvlJc w:val="left"/>
      <w:pPr>
        <w:tabs>
          <w:tab w:val="num" w:pos="425"/>
        </w:tabs>
        <w:ind w:left="425" w:hanging="425"/>
      </w:pPr>
      <w:rPr>
        <w:rFonts w:hint="eastAsia"/>
      </w:rPr>
    </w:lvl>
    <w:lvl w:ilvl="1">
      <w:start w:val="1"/>
      <w:numFmt w:val="decimal"/>
      <w:pStyle w:val="11"/>
      <w:lvlText w:val="%1.%2"/>
      <w:lvlJc w:val="left"/>
      <w:pPr>
        <w:tabs>
          <w:tab w:val="num" w:pos="992"/>
        </w:tabs>
        <w:ind w:left="992" w:hanging="567"/>
      </w:pPr>
      <w:rPr>
        <w:rFonts w:hint="eastAsia"/>
      </w:rPr>
    </w:lvl>
    <w:lvl w:ilvl="2">
      <w:start w:val="1"/>
      <w:numFmt w:val="decimal"/>
      <w:pStyle w:val="111"/>
      <w:lvlText w:val="%1.%2.%3"/>
      <w:lvlJc w:val="left"/>
      <w:pPr>
        <w:tabs>
          <w:tab w:val="num" w:pos="1418"/>
        </w:tabs>
        <w:ind w:left="1418" w:hanging="567"/>
      </w:pPr>
      <w:rPr>
        <w:rFonts w:hint="eastAsia"/>
      </w:rPr>
    </w:lvl>
    <w:lvl w:ilvl="3">
      <w:start w:val="1"/>
      <w:numFmt w:val="decimal"/>
      <w:pStyle w:val="1111"/>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 w15:restartNumberingAfterBreak="0">
    <w:nsid w:val="43BD6F1B"/>
    <w:multiLevelType w:val="multilevel"/>
    <w:tmpl w:val="0409001D"/>
    <w:styleLink w:val="5"/>
    <w:lvl w:ilvl="0">
      <w:start w:val="6"/>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53B57F34"/>
    <w:multiLevelType w:val="multilevel"/>
    <w:tmpl w:val="0409001D"/>
    <w:styleLink w:val="4"/>
    <w:lvl w:ilvl="0">
      <w:start w:val="4"/>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551D754F"/>
    <w:multiLevelType w:val="multilevel"/>
    <w:tmpl w:val="0409001D"/>
    <w:styleLink w:val="3"/>
    <w:lvl w:ilvl="0">
      <w:start w:val="4"/>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6C85754F"/>
    <w:multiLevelType w:val="multilevel"/>
    <w:tmpl w:val="0409001D"/>
    <w:styleLink w:val="9"/>
    <w:lvl w:ilvl="0">
      <w:start w:val="8"/>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76864ADE"/>
    <w:multiLevelType w:val="multilevel"/>
    <w:tmpl w:val="0409001D"/>
    <w:styleLink w:val="2"/>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77EE36F9"/>
    <w:multiLevelType w:val="multilevel"/>
    <w:tmpl w:val="0409001D"/>
    <w:styleLink w:val="12"/>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78465491"/>
    <w:multiLevelType w:val="hybridMultilevel"/>
    <w:tmpl w:val="0C8CD8D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7A29415F"/>
    <w:multiLevelType w:val="multilevel"/>
    <w:tmpl w:val="0409001D"/>
    <w:styleLink w:val="7"/>
    <w:lvl w:ilvl="0">
      <w:start w:val="6"/>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4"/>
  </w:num>
  <w:num w:numId="2">
    <w:abstractNumId w:val="2"/>
  </w:num>
  <w:num w:numId="3">
    <w:abstractNumId w:val="10"/>
  </w:num>
  <w:num w:numId="4">
    <w:abstractNumId w:val="9"/>
  </w:num>
  <w:num w:numId="5">
    <w:abstractNumId w:val="7"/>
  </w:num>
  <w:num w:numId="6">
    <w:abstractNumId w:val="6"/>
  </w:num>
  <w:num w:numId="7">
    <w:abstractNumId w:val="5"/>
  </w:num>
  <w:num w:numId="8">
    <w:abstractNumId w:val="1"/>
  </w:num>
  <w:num w:numId="9">
    <w:abstractNumId w:val="12"/>
  </w:num>
  <w:num w:numId="10">
    <w:abstractNumId w:val="3"/>
  </w:num>
  <w:num w:numId="11">
    <w:abstractNumId w:val="8"/>
  </w:num>
  <w:num w:numId="12">
    <w:abstractNumId w:val="0"/>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69"/>
    <w:rsid w:val="000000E7"/>
    <w:rsid w:val="00004B5F"/>
    <w:rsid w:val="0000544A"/>
    <w:rsid w:val="000065AB"/>
    <w:rsid w:val="00006B37"/>
    <w:rsid w:val="0000702F"/>
    <w:rsid w:val="00014697"/>
    <w:rsid w:val="000207C6"/>
    <w:rsid w:val="00026A9E"/>
    <w:rsid w:val="00027E61"/>
    <w:rsid w:val="00036793"/>
    <w:rsid w:val="00042E53"/>
    <w:rsid w:val="00044C4E"/>
    <w:rsid w:val="000562E4"/>
    <w:rsid w:val="000575EF"/>
    <w:rsid w:val="00057A7D"/>
    <w:rsid w:val="00057F89"/>
    <w:rsid w:val="00061251"/>
    <w:rsid w:val="000623F3"/>
    <w:rsid w:val="000653DB"/>
    <w:rsid w:val="0006545D"/>
    <w:rsid w:val="000655D5"/>
    <w:rsid w:val="00065EB4"/>
    <w:rsid w:val="000670C8"/>
    <w:rsid w:val="0007017E"/>
    <w:rsid w:val="00074EEE"/>
    <w:rsid w:val="00077489"/>
    <w:rsid w:val="000804C2"/>
    <w:rsid w:val="00083EA0"/>
    <w:rsid w:val="000916CA"/>
    <w:rsid w:val="000953DC"/>
    <w:rsid w:val="000A3426"/>
    <w:rsid w:val="000A3852"/>
    <w:rsid w:val="000A4455"/>
    <w:rsid w:val="000A6707"/>
    <w:rsid w:val="000A723B"/>
    <w:rsid w:val="000B4848"/>
    <w:rsid w:val="000B59B2"/>
    <w:rsid w:val="000B6B04"/>
    <w:rsid w:val="000C0003"/>
    <w:rsid w:val="000C0506"/>
    <w:rsid w:val="000C0875"/>
    <w:rsid w:val="000D1BA0"/>
    <w:rsid w:val="000D22FC"/>
    <w:rsid w:val="000D670C"/>
    <w:rsid w:val="000E141A"/>
    <w:rsid w:val="000E1B13"/>
    <w:rsid w:val="000E1B8F"/>
    <w:rsid w:val="000E7CF6"/>
    <w:rsid w:val="000F2F2D"/>
    <w:rsid w:val="000F7508"/>
    <w:rsid w:val="001022F9"/>
    <w:rsid w:val="001027E2"/>
    <w:rsid w:val="00104556"/>
    <w:rsid w:val="001052E1"/>
    <w:rsid w:val="0011325D"/>
    <w:rsid w:val="001133AD"/>
    <w:rsid w:val="001201C8"/>
    <w:rsid w:val="0012141E"/>
    <w:rsid w:val="001239CE"/>
    <w:rsid w:val="001349AD"/>
    <w:rsid w:val="00134EED"/>
    <w:rsid w:val="00137DBC"/>
    <w:rsid w:val="001411B8"/>
    <w:rsid w:val="001511A4"/>
    <w:rsid w:val="00152CB9"/>
    <w:rsid w:val="001534EE"/>
    <w:rsid w:val="001535FA"/>
    <w:rsid w:val="00154F57"/>
    <w:rsid w:val="001551C7"/>
    <w:rsid w:val="00156378"/>
    <w:rsid w:val="00157DB2"/>
    <w:rsid w:val="00160A51"/>
    <w:rsid w:val="001620E9"/>
    <w:rsid w:val="00163C3E"/>
    <w:rsid w:val="001649C3"/>
    <w:rsid w:val="00167B59"/>
    <w:rsid w:val="001711C3"/>
    <w:rsid w:val="001758E6"/>
    <w:rsid w:val="00175E7B"/>
    <w:rsid w:val="0018207C"/>
    <w:rsid w:val="00186F42"/>
    <w:rsid w:val="00191035"/>
    <w:rsid w:val="00192FFD"/>
    <w:rsid w:val="001A0A07"/>
    <w:rsid w:val="001A11FA"/>
    <w:rsid w:val="001A128A"/>
    <w:rsid w:val="001A25DD"/>
    <w:rsid w:val="001A50CE"/>
    <w:rsid w:val="001A5DCF"/>
    <w:rsid w:val="001B0D90"/>
    <w:rsid w:val="001B32EE"/>
    <w:rsid w:val="001B33B0"/>
    <w:rsid w:val="001B613D"/>
    <w:rsid w:val="001B6B65"/>
    <w:rsid w:val="001B7A22"/>
    <w:rsid w:val="001C4D60"/>
    <w:rsid w:val="001C7167"/>
    <w:rsid w:val="001C73D1"/>
    <w:rsid w:val="001C7F4A"/>
    <w:rsid w:val="001D0408"/>
    <w:rsid w:val="001D34CE"/>
    <w:rsid w:val="001D4EE6"/>
    <w:rsid w:val="001D5DA0"/>
    <w:rsid w:val="001D64AF"/>
    <w:rsid w:val="001D7530"/>
    <w:rsid w:val="001E153F"/>
    <w:rsid w:val="001E6714"/>
    <w:rsid w:val="001F24B5"/>
    <w:rsid w:val="001F3E87"/>
    <w:rsid w:val="001F4452"/>
    <w:rsid w:val="001F588D"/>
    <w:rsid w:val="001F5C24"/>
    <w:rsid w:val="001F6D58"/>
    <w:rsid w:val="001F753E"/>
    <w:rsid w:val="00200C85"/>
    <w:rsid w:val="0020150A"/>
    <w:rsid w:val="00202D9E"/>
    <w:rsid w:val="002163F0"/>
    <w:rsid w:val="00217732"/>
    <w:rsid w:val="00220EA8"/>
    <w:rsid w:val="00221EDF"/>
    <w:rsid w:val="0022398C"/>
    <w:rsid w:val="00226E3C"/>
    <w:rsid w:val="00232EDF"/>
    <w:rsid w:val="002339C5"/>
    <w:rsid w:val="00234F04"/>
    <w:rsid w:val="00243369"/>
    <w:rsid w:val="00244AEE"/>
    <w:rsid w:val="0025194E"/>
    <w:rsid w:val="00264415"/>
    <w:rsid w:val="002649BE"/>
    <w:rsid w:val="00270564"/>
    <w:rsid w:val="00272A86"/>
    <w:rsid w:val="00272E86"/>
    <w:rsid w:val="00275F51"/>
    <w:rsid w:val="00277190"/>
    <w:rsid w:val="00277814"/>
    <w:rsid w:val="002816B4"/>
    <w:rsid w:val="00285475"/>
    <w:rsid w:val="002924B1"/>
    <w:rsid w:val="00292B87"/>
    <w:rsid w:val="00297224"/>
    <w:rsid w:val="002A3312"/>
    <w:rsid w:val="002A33F3"/>
    <w:rsid w:val="002B526B"/>
    <w:rsid w:val="002B5796"/>
    <w:rsid w:val="002C09AE"/>
    <w:rsid w:val="002C22D5"/>
    <w:rsid w:val="002C320A"/>
    <w:rsid w:val="002C572F"/>
    <w:rsid w:val="002C6485"/>
    <w:rsid w:val="002C7F11"/>
    <w:rsid w:val="002D0846"/>
    <w:rsid w:val="002D5003"/>
    <w:rsid w:val="002E4292"/>
    <w:rsid w:val="002E4E26"/>
    <w:rsid w:val="002E62A3"/>
    <w:rsid w:val="002F0B6E"/>
    <w:rsid w:val="002F6639"/>
    <w:rsid w:val="002F778B"/>
    <w:rsid w:val="003002AB"/>
    <w:rsid w:val="00304444"/>
    <w:rsid w:val="00306F7E"/>
    <w:rsid w:val="0031127B"/>
    <w:rsid w:val="00313E6B"/>
    <w:rsid w:val="00314A76"/>
    <w:rsid w:val="00314F43"/>
    <w:rsid w:val="0031580B"/>
    <w:rsid w:val="00315D96"/>
    <w:rsid w:val="00317DC2"/>
    <w:rsid w:val="00320FC7"/>
    <w:rsid w:val="00321619"/>
    <w:rsid w:val="00323726"/>
    <w:rsid w:val="00326B7A"/>
    <w:rsid w:val="00330FE6"/>
    <w:rsid w:val="00333434"/>
    <w:rsid w:val="00334CC1"/>
    <w:rsid w:val="003352D7"/>
    <w:rsid w:val="003414DD"/>
    <w:rsid w:val="00342028"/>
    <w:rsid w:val="00342349"/>
    <w:rsid w:val="00343395"/>
    <w:rsid w:val="003447F0"/>
    <w:rsid w:val="00345B0A"/>
    <w:rsid w:val="003473D4"/>
    <w:rsid w:val="00353F0F"/>
    <w:rsid w:val="00354ED6"/>
    <w:rsid w:val="003566F6"/>
    <w:rsid w:val="00357AE4"/>
    <w:rsid w:val="003679FF"/>
    <w:rsid w:val="00371E67"/>
    <w:rsid w:val="00372956"/>
    <w:rsid w:val="00372A0E"/>
    <w:rsid w:val="003730ED"/>
    <w:rsid w:val="003736E4"/>
    <w:rsid w:val="003743CB"/>
    <w:rsid w:val="003770F5"/>
    <w:rsid w:val="003833B8"/>
    <w:rsid w:val="00385195"/>
    <w:rsid w:val="003873BE"/>
    <w:rsid w:val="00392846"/>
    <w:rsid w:val="003A1FA2"/>
    <w:rsid w:val="003A21B0"/>
    <w:rsid w:val="003A3164"/>
    <w:rsid w:val="003B1297"/>
    <w:rsid w:val="003B55C9"/>
    <w:rsid w:val="003B623A"/>
    <w:rsid w:val="003C3A97"/>
    <w:rsid w:val="003C4CCD"/>
    <w:rsid w:val="003C57EE"/>
    <w:rsid w:val="003C5A89"/>
    <w:rsid w:val="003C6CF7"/>
    <w:rsid w:val="003D4691"/>
    <w:rsid w:val="003D4EAF"/>
    <w:rsid w:val="003D511B"/>
    <w:rsid w:val="003D5FF9"/>
    <w:rsid w:val="003D608A"/>
    <w:rsid w:val="003E3FDC"/>
    <w:rsid w:val="003E409A"/>
    <w:rsid w:val="003E5ABA"/>
    <w:rsid w:val="003E6730"/>
    <w:rsid w:val="003E754F"/>
    <w:rsid w:val="003F56DC"/>
    <w:rsid w:val="003F664D"/>
    <w:rsid w:val="00400491"/>
    <w:rsid w:val="00401A1E"/>
    <w:rsid w:val="00403F8F"/>
    <w:rsid w:val="00404547"/>
    <w:rsid w:val="004049BF"/>
    <w:rsid w:val="00407864"/>
    <w:rsid w:val="00411180"/>
    <w:rsid w:val="00411617"/>
    <w:rsid w:val="00415CF8"/>
    <w:rsid w:val="004220BE"/>
    <w:rsid w:val="00432531"/>
    <w:rsid w:val="0044474D"/>
    <w:rsid w:val="00454379"/>
    <w:rsid w:val="004567AE"/>
    <w:rsid w:val="00460B2F"/>
    <w:rsid w:val="004615BC"/>
    <w:rsid w:val="004628FD"/>
    <w:rsid w:val="0046719C"/>
    <w:rsid w:val="00476930"/>
    <w:rsid w:val="00476960"/>
    <w:rsid w:val="00480B57"/>
    <w:rsid w:val="00481BE8"/>
    <w:rsid w:val="00482D1E"/>
    <w:rsid w:val="004839E4"/>
    <w:rsid w:val="00483AC4"/>
    <w:rsid w:val="00486122"/>
    <w:rsid w:val="00495D72"/>
    <w:rsid w:val="004A079F"/>
    <w:rsid w:val="004A355E"/>
    <w:rsid w:val="004A5009"/>
    <w:rsid w:val="004A54A1"/>
    <w:rsid w:val="004A59E2"/>
    <w:rsid w:val="004A5E80"/>
    <w:rsid w:val="004A7365"/>
    <w:rsid w:val="004A7D83"/>
    <w:rsid w:val="004B2943"/>
    <w:rsid w:val="004B367D"/>
    <w:rsid w:val="004B4041"/>
    <w:rsid w:val="004B476C"/>
    <w:rsid w:val="004C0367"/>
    <w:rsid w:val="004C143E"/>
    <w:rsid w:val="004C1B78"/>
    <w:rsid w:val="004C5478"/>
    <w:rsid w:val="004C63C2"/>
    <w:rsid w:val="004D11FF"/>
    <w:rsid w:val="004D3888"/>
    <w:rsid w:val="004D39E4"/>
    <w:rsid w:val="004D782C"/>
    <w:rsid w:val="004E18F0"/>
    <w:rsid w:val="004E3017"/>
    <w:rsid w:val="004E6DB3"/>
    <w:rsid w:val="004E7063"/>
    <w:rsid w:val="004F671D"/>
    <w:rsid w:val="004F7BE3"/>
    <w:rsid w:val="0050053B"/>
    <w:rsid w:val="005043A4"/>
    <w:rsid w:val="005136A3"/>
    <w:rsid w:val="0051408D"/>
    <w:rsid w:val="005233C9"/>
    <w:rsid w:val="00523A0B"/>
    <w:rsid w:val="00532E61"/>
    <w:rsid w:val="00532EB2"/>
    <w:rsid w:val="00535293"/>
    <w:rsid w:val="00536557"/>
    <w:rsid w:val="005403B9"/>
    <w:rsid w:val="00545D6C"/>
    <w:rsid w:val="005518D0"/>
    <w:rsid w:val="005533D8"/>
    <w:rsid w:val="00555C5D"/>
    <w:rsid w:val="00556669"/>
    <w:rsid w:val="00560290"/>
    <w:rsid w:val="00561908"/>
    <w:rsid w:val="00566313"/>
    <w:rsid w:val="00575EEE"/>
    <w:rsid w:val="00576FC3"/>
    <w:rsid w:val="00577A6F"/>
    <w:rsid w:val="00582588"/>
    <w:rsid w:val="00587F0E"/>
    <w:rsid w:val="00590B05"/>
    <w:rsid w:val="00591468"/>
    <w:rsid w:val="005915E9"/>
    <w:rsid w:val="00591875"/>
    <w:rsid w:val="0059351A"/>
    <w:rsid w:val="0059558A"/>
    <w:rsid w:val="005A0A3D"/>
    <w:rsid w:val="005A2C22"/>
    <w:rsid w:val="005A2CA6"/>
    <w:rsid w:val="005A4409"/>
    <w:rsid w:val="005A5621"/>
    <w:rsid w:val="005B04FC"/>
    <w:rsid w:val="005B079D"/>
    <w:rsid w:val="005B0B66"/>
    <w:rsid w:val="005B1B71"/>
    <w:rsid w:val="005B4350"/>
    <w:rsid w:val="005B548C"/>
    <w:rsid w:val="005C11A3"/>
    <w:rsid w:val="005C1899"/>
    <w:rsid w:val="005C3457"/>
    <w:rsid w:val="005C6B65"/>
    <w:rsid w:val="005D02BB"/>
    <w:rsid w:val="005D4E3B"/>
    <w:rsid w:val="005D6287"/>
    <w:rsid w:val="005E01A2"/>
    <w:rsid w:val="005E1806"/>
    <w:rsid w:val="005E2909"/>
    <w:rsid w:val="005E2C63"/>
    <w:rsid w:val="005E34F2"/>
    <w:rsid w:val="005E373E"/>
    <w:rsid w:val="005E66F7"/>
    <w:rsid w:val="005F10E3"/>
    <w:rsid w:val="005F2684"/>
    <w:rsid w:val="005F29CE"/>
    <w:rsid w:val="005F2E3F"/>
    <w:rsid w:val="005F7105"/>
    <w:rsid w:val="005F7755"/>
    <w:rsid w:val="00601BE5"/>
    <w:rsid w:val="00601E19"/>
    <w:rsid w:val="00604845"/>
    <w:rsid w:val="00606DCF"/>
    <w:rsid w:val="00606FAF"/>
    <w:rsid w:val="00611548"/>
    <w:rsid w:val="0061314F"/>
    <w:rsid w:val="006139C0"/>
    <w:rsid w:val="00614841"/>
    <w:rsid w:val="006158A9"/>
    <w:rsid w:val="0061656F"/>
    <w:rsid w:val="00620733"/>
    <w:rsid w:val="00621053"/>
    <w:rsid w:val="0063179E"/>
    <w:rsid w:val="006354BD"/>
    <w:rsid w:val="00635A80"/>
    <w:rsid w:val="0064287C"/>
    <w:rsid w:val="0065353A"/>
    <w:rsid w:val="00662830"/>
    <w:rsid w:val="006642AB"/>
    <w:rsid w:val="0067425E"/>
    <w:rsid w:val="00675666"/>
    <w:rsid w:val="006765BB"/>
    <w:rsid w:val="0068717D"/>
    <w:rsid w:val="00690C88"/>
    <w:rsid w:val="00691C62"/>
    <w:rsid w:val="00694136"/>
    <w:rsid w:val="00694F78"/>
    <w:rsid w:val="00694FDC"/>
    <w:rsid w:val="00696D01"/>
    <w:rsid w:val="00697E96"/>
    <w:rsid w:val="006A156D"/>
    <w:rsid w:val="006A33DD"/>
    <w:rsid w:val="006A4080"/>
    <w:rsid w:val="006B03FC"/>
    <w:rsid w:val="006B17D1"/>
    <w:rsid w:val="006B2168"/>
    <w:rsid w:val="006B3373"/>
    <w:rsid w:val="006C16E8"/>
    <w:rsid w:val="006C57CC"/>
    <w:rsid w:val="006C78A2"/>
    <w:rsid w:val="006D25B9"/>
    <w:rsid w:val="006D2F85"/>
    <w:rsid w:val="006D6CF2"/>
    <w:rsid w:val="006E2A37"/>
    <w:rsid w:val="006E5381"/>
    <w:rsid w:val="006F3007"/>
    <w:rsid w:val="006F3F89"/>
    <w:rsid w:val="006F4133"/>
    <w:rsid w:val="006F43A3"/>
    <w:rsid w:val="0070310A"/>
    <w:rsid w:val="0070511F"/>
    <w:rsid w:val="0071073E"/>
    <w:rsid w:val="0071428D"/>
    <w:rsid w:val="00721A12"/>
    <w:rsid w:val="00723395"/>
    <w:rsid w:val="0072381B"/>
    <w:rsid w:val="007248FE"/>
    <w:rsid w:val="007301BD"/>
    <w:rsid w:val="0073206E"/>
    <w:rsid w:val="007344C5"/>
    <w:rsid w:val="007355BA"/>
    <w:rsid w:val="00735CC9"/>
    <w:rsid w:val="00740D88"/>
    <w:rsid w:val="00741D24"/>
    <w:rsid w:val="007433C6"/>
    <w:rsid w:val="00744B9B"/>
    <w:rsid w:val="00746B61"/>
    <w:rsid w:val="00747DD7"/>
    <w:rsid w:val="00753234"/>
    <w:rsid w:val="00757F56"/>
    <w:rsid w:val="0076224C"/>
    <w:rsid w:val="00763A75"/>
    <w:rsid w:val="00763D22"/>
    <w:rsid w:val="00764CB1"/>
    <w:rsid w:val="00767141"/>
    <w:rsid w:val="00772FED"/>
    <w:rsid w:val="007766E2"/>
    <w:rsid w:val="00777A10"/>
    <w:rsid w:val="00790D5F"/>
    <w:rsid w:val="0079206A"/>
    <w:rsid w:val="00792673"/>
    <w:rsid w:val="00797871"/>
    <w:rsid w:val="007A221B"/>
    <w:rsid w:val="007B02DB"/>
    <w:rsid w:val="007B124A"/>
    <w:rsid w:val="007B6165"/>
    <w:rsid w:val="007C0E69"/>
    <w:rsid w:val="007D090F"/>
    <w:rsid w:val="007D0E3F"/>
    <w:rsid w:val="007D1940"/>
    <w:rsid w:val="007D4639"/>
    <w:rsid w:val="007D4E24"/>
    <w:rsid w:val="007D676D"/>
    <w:rsid w:val="007E087E"/>
    <w:rsid w:val="007E12D1"/>
    <w:rsid w:val="007E483C"/>
    <w:rsid w:val="007F2E77"/>
    <w:rsid w:val="007F4145"/>
    <w:rsid w:val="00801E0B"/>
    <w:rsid w:val="0080404A"/>
    <w:rsid w:val="008063A7"/>
    <w:rsid w:val="00807DBD"/>
    <w:rsid w:val="008146C5"/>
    <w:rsid w:val="00814980"/>
    <w:rsid w:val="0081559D"/>
    <w:rsid w:val="008221CE"/>
    <w:rsid w:val="008233CD"/>
    <w:rsid w:val="00827177"/>
    <w:rsid w:val="00827615"/>
    <w:rsid w:val="00834992"/>
    <w:rsid w:val="0084466B"/>
    <w:rsid w:val="00847913"/>
    <w:rsid w:val="00854377"/>
    <w:rsid w:val="00856835"/>
    <w:rsid w:val="00860677"/>
    <w:rsid w:val="00863A46"/>
    <w:rsid w:val="00864028"/>
    <w:rsid w:val="00871EC2"/>
    <w:rsid w:val="00885121"/>
    <w:rsid w:val="0089351B"/>
    <w:rsid w:val="008945F7"/>
    <w:rsid w:val="00897DF4"/>
    <w:rsid w:val="008A13EB"/>
    <w:rsid w:val="008A2C4F"/>
    <w:rsid w:val="008A46C7"/>
    <w:rsid w:val="008A57D5"/>
    <w:rsid w:val="008A7C71"/>
    <w:rsid w:val="008B19F9"/>
    <w:rsid w:val="008B2958"/>
    <w:rsid w:val="008B6405"/>
    <w:rsid w:val="008B6EAD"/>
    <w:rsid w:val="008B7917"/>
    <w:rsid w:val="008C1608"/>
    <w:rsid w:val="008C3B9F"/>
    <w:rsid w:val="008C6413"/>
    <w:rsid w:val="008C711B"/>
    <w:rsid w:val="008C7469"/>
    <w:rsid w:val="008D3F86"/>
    <w:rsid w:val="008D705F"/>
    <w:rsid w:val="008E0D87"/>
    <w:rsid w:val="008E2009"/>
    <w:rsid w:val="008E41A5"/>
    <w:rsid w:val="008E5065"/>
    <w:rsid w:val="008E539F"/>
    <w:rsid w:val="008F3221"/>
    <w:rsid w:val="008F690E"/>
    <w:rsid w:val="00904B11"/>
    <w:rsid w:val="00905902"/>
    <w:rsid w:val="009109A5"/>
    <w:rsid w:val="009146C4"/>
    <w:rsid w:val="009161F4"/>
    <w:rsid w:val="009165AF"/>
    <w:rsid w:val="009222DD"/>
    <w:rsid w:val="0092245F"/>
    <w:rsid w:val="00922A2E"/>
    <w:rsid w:val="0092343E"/>
    <w:rsid w:val="00923BB1"/>
    <w:rsid w:val="00927748"/>
    <w:rsid w:val="00931E73"/>
    <w:rsid w:val="009320C8"/>
    <w:rsid w:val="00932C4B"/>
    <w:rsid w:val="00936679"/>
    <w:rsid w:val="00937157"/>
    <w:rsid w:val="00944B95"/>
    <w:rsid w:val="00945A60"/>
    <w:rsid w:val="00945F87"/>
    <w:rsid w:val="00952D7F"/>
    <w:rsid w:val="00953C6B"/>
    <w:rsid w:val="00955896"/>
    <w:rsid w:val="00957793"/>
    <w:rsid w:val="00961D1E"/>
    <w:rsid w:val="00962677"/>
    <w:rsid w:val="00963B9F"/>
    <w:rsid w:val="009702C6"/>
    <w:rsid w:val="00971D86"/>
    <w:rsid w:val="00972369"/>
    <w:rsid w:val="00973887"/>
    <w:rsid w:val="0097464C"/>
    <w:rsid w:val="00975681"/>
    <w:rsid w:val="009776FD"/>
    <w:rsid w:val="009829FF"/>
    <w:rsid w:val="00982B55"/>
    <w:rsid w:val="009867B0"/>
    <w:rsid w:val="00991AE6"/>
    <w:rsid w:val="00994724"/>
    <w:rsid w:val="00995625"/>
    <w:rsid w:val="00995BA1"/>
    <w:rsid w:val="009A035F"/>
    <w:rsid w:val="009A5EAD"/>
    <w:rsid w:val="009A60D1"/>
    <w:rsid w:val="009A61B7"/>
    <w:rsid w:val="009A6821"/>
    <w:rsid w:val="009B05D1"/>
    <w:rsid w:val="009B620C"/>
    <w:rsid w:val="009C22E9"/>
    <w:rsid w:val="009C2AF3"/>
    <w:rsid w:val="009C66CD"/>
    <w:rsid w:val="009C7081"/>
    <w:rsid w:val="009C72C4"/>
    <w:rsid w:val="009D0C57"/>
    <w:rsid w:val="009D1F10"/>
    <w:rsid w:val="009D4B22"/>
    <w:rsid w:val="009D756A"/>
    <w:rsid w:val="009D7854"/>
    <w:rsid w:val="009E07C9"/>
    <w:rsid w:val="009E1DCD"/>
    <w:rsid w:val="009E3F06"/>
    <w:rsid w:val="009E6918"/>
    <w:rsid w:val="009F19A2"/>
    <w:rsid w:val="009F4AD7"/>
    <w:rsid w:val="009F6E1C"/>
    <w:rsid w:val="009F7E0E"/>
    <w:rsid w:val="00A0013A"/>
    <w:rsid w:val="00A035FE"/>
    <w:rsid w:val="00A049BC"/>
    <w:rsid w:val="00A06E78"/>
    <w:rsid w:val="00A1024C"/>
    <w:rsid w:val="00A1081D"/>
    <w:rsid w:val="00A12079"/>
    <w:rsid w:val="00A12FFD"/>
    <w:rsid w:val="00A17BC1"/>
    <w:rsid w:val="00A23C0C"/>
    <w:rsid w:val="00A26C35"/>
    <w:rsid w:val="00A307BF"/>
    <w:rsid w:val="00A33887"/>
    <w:rsid w:val="00A33A5F"/>
    <w:rsid w:val="00A34ED8"/>
    <w:rsid w:val="00A37915"/>
    <w:rsid w:val="00A4465B"/>
    <w:rsid w:val="00A451AC"/>
    <w:rsid w:val="00A5797A"/>
    <w:rsid w:val="00A64183"/>
    <w:rsid w:val="00A71591"/>
    <w:rsid w:val="00A71AA2"/>
    <w:rsid w:val="00A76978"/>
    <w:rsid w:val="00A81B17"/>
    <w:rsid w:val="00A85AA4"/>
    <w:rsid w:val="00A85ED1"/>
    <w:rsid w:val="00A86E1A"/>
    <w:rsid w:val="00A9049F"/>
    <w:rsid w:val="00A9689C"/>
    <w:rsid w:val="00A96DBB"/>
    <w:rsid w:val="00AA062C"/>
    <w:rsid w:val="00AA29B6"/>
    <w:rsid w:val="00AA37CA"/>
    <w:rsid w:val="00AA4E54"/>
    <w:rsid w:val="00AA7F1B"/>
    <w:rsid w:val="00AB75BE"/>
    <w:rsid w:val="00AC155B"/>
    <w:rsid w:val="00AC2885"/>
    <w:rsid w:val="00AD0E35"/>
    <w:rsid w:val="00AD1241"/>
    <w:rsid w:val="00AD194D"/>
    <w:rsid w:val="00AD204A"/>
    <w:rsid w:val="00AD242C"/>
    <w:rsid w:val="00AD4A2C"/>
    <w:rsid w:val="00AD50A4"/>
    <w:rsid w:val="00AD6413"/>
    <w:rsid w:val="00AD73C6"/>
    <w:rsid w:val="00AE1266"/>
    <w:rsid w:val="00AE1A39"/>
    <w:rsid w:val="00AE3639"/>
    <w:rsid w:val="00AE4F6E"/>
    <w:rsid w:val="00AE504A"/>
    <w:rsid w:val="00AF4362"/>
    <w:rsid w:val="00AF596B"/>
    <w:rsid w:val="00B03AC8"/>
    <w:rsid w:val="00B03AED"/>
    <w:rsid w:val="00B10B42"/>
    <w:rsid w:val="00B10BC1"/>
    <w:rsid w:val="00B12454"/>
    <w:rsid w:val="00B13190"/>
    <w:rsid w:val="00B155B8"/>
    <w:rsid w:val="00B168DD"/>
    <w:rsid w:val="00B20086"/>
    <w:rsid w:val="00B20705"/>
    <w:rsid w:val="00B20DAA"/>
    <w:rsid w:val="00B2362F"/>
    <w:rsid w:val="00B30873"/>
    <w:rsid w:val="00B30905"/>
    <w:rsid w:val="00B34803"/>
    <w:rsid w:val="00B37ED9"/>
    <w:rsid w:val="00B401A4"/>
    <w:rsid w:val="00B47E5C"/>
    <w:rsid w:val="00B51AED"/>
    <w:rsid w:val="00B51EFF"/>
    <w:rsid w:val="00B52029"/>
    <w:rsid w:val="00B778CD"/>
    <w:rsid w:val="00B81D7B"/>
    <w:rsid w:val="00B81F2E"/>
    <w:rsid w:val="00B833C4"/>
    <w:rsid w:val="00B84851"/>
    <w:rsid w:val="00B85A00"/>
    <w:rsid w:val="00B85DC0"/>
    <w:rsid w:val="00B91A2A"/>
    <w:rsid w:val="00B92D40"/>
    <w:rsid w:val="00B93C25"/>
    <w:rsid w:val="00B95EC1"/>
    <w:rsid w:val="00B97390"/>
    <w:rsid w:val="00B97F7E"/>
    <w:rsid w:val="00BA0805"/>
    <w:rsid w:val="00BA29A0"/>
    <w:rsid w:val="00BA7BD3"/>
    <w:rsid w:val="00BB1743"/>
    <w:rsid w:val="00BB20E9"/>
    <w:rsid w:val="00BB2E67"/>
    <w:rsid w:val="00BB50BA"/>
    <w:rsid w:val="00BB6CB8"/>
    <w:rsid w:val="00BC305F"/>
    <w:rsid w:val="00BC4BCF"/>
    <w:rsid w:val="00BC644B"/>
    <w:rsid w:val="00BD0B01"/>
    <w:rsid w:val="00BD5461"/>
    <w:rsid w:val="00BD560B"/>
    <w:rsid w:val="00BD58ED"/>
    <w:rsid w:val="00BD60FE"/>
    <w:rsid w:val="00BE51C1"/>
    <w:rsid w:val="00BF2C78"/>
    <w:rsid w:val="00BF3DA1"/>
    <w:rsid w:val="00BF4AD8"/>
    <w:rsid w:val="00C01C9F"/>
    <w:rsid w:val="00C036E2"/>
    <w:rsid w:val="00C04595"/>
    <w:rsid w:val="00C13274"/>
    <w:rsid w:val="00C1523D"/>
    <w:rsid w:val="00C1644F"/>
    <w:rsid w:val="00C165C2"/>
    <w:rsid w:val="00C215A4"/>
    <w:rsid w:val="00C246C9"/>
    <w:rsid w:val="00C25C1D"/>
    <w:rsid w:val="00C3353D"/>
    <w:rsid w:val="00C376CF"/>
    <w:rsid w:val="00C37F9E"/>
    <w:rsid w:val="00C47F84"/>
    <w:rsid w:val="00C57301"/>
    <w:rsid w:val="00C61CCA"/>
    <w:rsid w:val="00C74EA8"/>
    <w:rsid w:val="00C7542A"/>
    <w:rsid w:val="00C82FEA"/>
    <w:rsid w:val="00C90311"/>
    <w:rsid w:val="00C9065C"/>
    <w:rsid w:val="00C91194"/>
    <w:rsid w:val="00C9558E"/>
    <w:rsid w:val="00C96320"/>
    <w:rsid w:val="00CA18AC"/>
    <w:rsid w:val="00CA227A"/>
    <w:rsid w:val="00CA5A2D"/>
    <w:rsid w:val="00CA62A5"/>
    <w:rsid w:val="00CB085B"/>
    <w:rsid w:val="00CB116B"/>
    <w:rsid w:val="00CB5257"/>
    <w:rsid w:val="00CB70F2"/>
    <w:rsid w:val="00CC7402"/>
    <w:rsid w:val="00CC7E13"/>
    <w:rsid w:val="00CD35A8"/>
    <w:rsid w:val="00CE2A57"/>
    <w:rsid w:val="00CF3CB4"/>
    <w:rsid w:val="00CF3D28"/>
    <w:rsid w:val="00CF50A8"/>
    <w:rsid w:val="00D01749"/>
    <w:rsid w:val="00D02D5A"/>
    <w:rsid w:val="00D03407"/>
    <w:rsid w:val="00D04129"/>
    <w:rsid w:val="00D04508"/>
    <w:rsid w:val="00D075A0"/>
    <w:rsid w:val="00D101FA"/>
    <w:rsid w:val="00D124CA"/>
    <w:rsid w:val="00D1441E"/>
    <w:rsid w:val="00D20DFA"/>
    <w:rsid w:val="00D32DDD"/>
    <w:rsid w:val="00D33ADA"/>
    <w:rsid w:val="00D36344"/>
    <w:rsid w:val="00D5170E"/>
    <w:rsid w:val="00D535BC"/>
    <w:rsid w:val="00D54733"/>
    <w:rsid w:val="00D574B2"/>
    <w:rsid w:val="00D603B7"/>
    <w:rsid w:val="00D60AC1"/>
    <w:rsid w:val="00D65FCE"/>
    <w:rsid w:val="00D663EF"/>
    <w:rsid w:val="00D66819"/>
    <w:rsid w:val="00D670E3"/>
    <w:rsid w:val="00D72D8D"/>
    <w:rsid w:val="00D74A2E"/>
    <w:rsid w:val="00D7628F"/>
    <w:rsid w:val="00D77E24"/>
    <w:rsid w:val="00D80BC9"/>
    <w:rsid w:val="00D8194B"/>
    <w:rsid w:val="00D83BDA"/>
    <w:rsid w:val="00D8446C"/>
    <w:rsid w:val="00D85DC2"/>
    <w:rsid w:val="00D86314"/>
    <w:rsid w:val="00D900BA"/>
    <w:rsid w:val="00D903F0"/>
    <w:rsid w:val="00D90595"/>
    <w:rsid w:val="00D93A26"/>
    <w:rsid w:val="00D93E4C"/>
    <w:rsid w:val="00D941CF"/>
    <w:rsid w:val="00D941F0"/>
    <w:rsid w:val="00D96BD7"/>
    <w:rsid w:val="00DA05D0"/>
    <w:rsid w:val="00DA1EB0"/>
    <w:rsid w:val="00DA24B3"/>
    <w:rsid w:val="00DA6F33"/>
    <w:rsid w:val="00DA7BB4"/>
    <w:rsid w:val="00DB039A"/>
    <w:rsid w:val="00DB0ADD"/>
    <w:rsid w:val="00DB34B7"/>
    <w:rsid w:val="00DB380E"/>
    <w:rsid w:val="00DB7010"/>
    <w:rsid w:val="00DC085C"/>
    <w:rsid w:val="00DC116D"/>
    <w:rsid w:val="00DC2FCC"/>
    <w:rsid w:val="00DC5A0D"/>
    <w:rsid w:val="00DD59D0"/>
    <w:rsid w:val="00DD5BBD"/>
    <w:rsid w:val="00DD672F"/>
    <w:rsid w:val="00DD6F73"/>
    <w:rsid w:val="00DE0451"/>
    <w:rsid w:val="00DE1BC8"/>
    <w:rsid w:val="00DE292E"/>
    <w:rsid w:val="00DE4484"/>
    <w:rsid w:val="00DE6FBE"/>
    <w:rsid w:val="00DF043D"/>
    <w:rsid w:val="00DF0FFA"/>
    <w:rsid w:val="00DF19EA"/>
    <w:rsid w:val="00DF56A4"/>
    <w:rsid w:val="00DF685B"/>
    <w:rsid w:val="00DF7617"/>
    <w:rsid w:val="00E03C8C"/>
    <w:rsid w:val="00E100EC"/>
    <w:rsid w:val="00E11E75"/>
    <w:rsid w:val="00E15349"/>
    <w:rsid w:val="00E20DDE"/>
    <w:rsid w:val="00E21FCF"/>
    <w:rsid w:val="00E229C0"/>
    <w:rsid w:val="00E2354D"/>
    <w:rsid w:val="00E24A78"/>
    <w:rsid w:val="00E269D5"/>
    <w:rsid w:val="00E30D9A"/>
    <w:rsid w:val="00E33AEE"/>
    <w:rsid w:val="00E34C0F"/>
    <w:rsid w:val="00E37D52"/>
    <w:rsid w:val="00E46938"/>
    <w:rsid w:val="00E513FF"/>
    <w:rsid w:val="00E53271"/>
    <w:rsid w:val="00E53BCB"/>
    <w:rsid w:val="00E56026"/>
    <w:rsid w:val="00E60406"/>
    <w:rsid w:val="00E73ADD"/>
    <w:rsid w:val="00E82F88"/>
    <w:rsid w:val="00E946A3"/>
    <w:rsid w:val="00E962CB"/>
    <w:rsid w:val="00E9640E"/>
    <w:rsid w:val="00EA0CA6"/>
    <w:rsid w:val="00EA28A0"/>
    <w:rsid w:val="00EA4E9C"/>
    <w:rsid w:val="00EA529E"/>
    <w:rsid w:val="00EB33DB"/>
    <w:rsid w:val="00EB7DD8"/>
    <w:rsid w:val="00EB7EB5"/>
    <w:rsid w:val="00EC11F8"/>
    <w:rsid w:val="00EC509E"/>
    <w:rsid w:val="00ED451A"/>
    <w:rsid w:val="00ED6C23"/>
    <w:rsid w:val="00ED7D01"/>
    <w:rsid w:val="00EF2774"/>
    <w:rsid w:val="00EF2DDA"/>
    <w:rsid w:val="00EF747F"/>
    <w:rsid w:val="00F03701"/>
    <w:rsid w:val="00F0418C"/>
    <w:rsid w:val="00F078F7"/>
    <w:rsid w:val="00F10BCA"/>
    <w:rsid w:val="00F126B3"/>
    <w:rsid w:val="00F12E9A"/>
    <w:rsid w:val="00F13782"/>
    <w:rsid w:val="00F15B5D"/>
    <w:rsid w:val="00F21325"/>
    <w:rsid w:val="00F213A7"/>
    <w:rsid w:val="00F23C63"/>
    <w:rsid w:val="00F269CD"/>
    <w:rsid w:val="00F2760F"/>
    <w:rsid w:val="00F45D79"/>
    <w:rsid w:val="00F46906"/>
    <w:rsid w:val="00F53051"/>
    <w:rsid w:val="00F56A48"/>
    <w:rsid w:val="00F57E37"/>
    <w:rsid w:val="00F65539"/>
    <w:rsid w:val="00F65D75"/>
    <w:rsid w:val="00F715B9"/>
    <w:rsid w:val="00F724FB"/>
    <w:rsid w:val="00F73849"/>
    <w:rsid w:val="00F73B1D"/>
    <w:rsid w:val="00F7733D"/>
    <w:rsid w:val="00F83294"/>
    <w:rsid w:val="00F840F0"/>
    <w:rsid w:val="00F853B9"/>
    <w:rsid w:val="00F90081"/>
    <w:rsid w:val="00F962A6"/>
    <w:rsid w:val="00F97CEF"/>
    <w:rsid w:val="00FA7B29"/>
    <w:rsid w:val="00FB102F"/>
    <w:rsid w:val="00FB343B"/>
    <w:rsid w:val="00FB4ACE"/>
    <w:rsid w:val="00FB5FE2"/>
    <w:rsid w:val="00FC2F87"/>
    <w:rsid w:val="00FC6184"/>
    <w:rsid w:val="00FD0B3A"/>
    <w:rsid w:val="00FD7076"/>
    <w:rsid w:val="00FD768E"/>
    <w:rsid w:val="00FD7945"/>
    <w:rsid w:val="00FD7B45"/>
    <w:rsid w:val="00FE5775"/>
    <w:rsid w:val="00FF552D"/>
    <w:rsid w:val="00FF6B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5703FC32"/>
  <w15:chartTrackingRefBased/>
  <w15:docId w15:val="{C227FE2B-8CAE-4E63-B051-F5FCF16A1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HTML Preformatted" w:locked="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5E80"/>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4A5E80"/>
    <w:pPr>
      <w:tabs>
        <w:tab w:val="center" w:pos="4153"/>
        <w:tab w:val="right" w:pos="8306"/>
      </w:tabs>
      <w:snapToGrid w:val="0"/>
    </w:pPr>
    <w:rPr>
      <w:sz w:val="20"/>
      <w:szCs w:val="20"/>
    </w:rPr>
  </w:style>
  <w:style w:type="character" w:styleId="a4">
    <w:name w:val="page number"/>
    <w:rsid w:val="004A5E80"/>
    <w:rPr>
      <w:rFonts w:cs="Times New Roman"/>
    </w:rPr>
  </w:style>
  <w:style w:type="paragraph" w:styleId="a5">
    <w:name w:val="header"/>
    <w:basedOn w:val="a"/>
    <w:link w:val="a6"/>
    <w:rsid w:val="004A5E80"/>
    <w:pPr>
      <w:tabs>
        <w:tab w:val="center" w:pos="4153"/>
        <w:tab w:val="right" w:pos="8306"/>
      </w:tabs>
      <w:snapToGrid w:val="0"/>
    </w:pPr>
    <w:rPr>
      <w:sz w:val="20"/>
      <w:szCs w:val="20"/>
    </w:rPr>
  </w:style>
  <w:style w:type="table" w:styleId="a7">
    <w:name w:val="Table Grid"/>
    <w:basedOn w:val="a1"/>
    <w:uiPriority w:val="39"/>
    <w:rsid w:val="005F10E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semiHidden/>
    <w:rsid w:val="004D11FF"/>
    <w:rPr>
      <w:rFonts w:ascii="Arial" w:hAnsi="Arial"/>
      <w:sz w:val="18"/>
      <w:szCs w:val="18"/>
    </w:rPr>
  </w:style>
  <w:style w:type="paragraph" w:styleId="HTML">
    <w:name w:val="HTML Preformatted"/>
    <w:basedOn w:val="a"/>
    <w:link w:val="HTML0"/>
    <w:rsid w:val="009059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link w:val="HTML"/>
    <w:locked/>
    <w:rsid w:val="00905902"/>
    <w:rPr>
      <w:rFonts w:ascii="細明體" w:eastAsia="細明體" w:hAnsi="細明體" w:cs="細明體"/>
      <w:sz w:val="24"/>
      <w:szCs w:val="24"/>
    </w:rPr>
  </w:style>
  <w:style w:type="character" w:styleId="a9">
    <w:name w:val="Hyperlink"/>
    <w:rsid w:val="00854377"/>
    <w:rPr>
      <w:color w:val="0000FF"/>
      <w:u w:val="single"/>
    </w:rPr>
  </w:style>
  <w:style w:type="paragraph" w:customStyle="1" w:styleId="1">
    <w:name w:val="家1."/>
    <w:basedOn w:val="a"/>
    <w:rsid w:val="003A1FA2"/>
    <w:pPr>
      <w:numPr>
        <w:numId w:val="1"/>
      </w:numPr>
    </w:pPr>
  </w:style>
  <w:style w:type="paragraph" w:customStyle="1" w:styleId="11">
    <w:name w:val="家1.1."/>
    <w:basedOn w:val="a"/>
    <w:rsid w:val="003A1FA2"/>
    <w:pPr>
      <w:numPr>
        <w:ilvl w:val="1"/>
        <w:numId w:val="1"/>
      </w:numPr>
    </w:pPr>
  </w:style>
  <w:style w:type="paragraph" w:customStyle="1" w:styleId="111">
    <w:name w:val="家1.1.1"/>
    <w:basedOn w:val="a"/>
    <w:rsid w:val="003A1FA2"/>
    <w:pPr>
      <w:numPr>
        <w:ilvl w:val="2"/>
        <w:numId w:val="1"/>
      </w:numPr>
    </w:pPr>
  </w:style>
  <w:style w:type="paragraph" w:customStyle="1" w:styleId="1111">
    <w:name w:val="家1.1.1.1"/>
    <w:basedOn w:val="111"/>
    <w:rsid w:val="003A1FA2"/>
    <w:pPr>
      <w:numPr>
        <w:ilvl w:val="3"/>
      </w:numPr>
    </w:pPr>
  </w:style>
  <w:style w:type="paragraph" w:styleId="aa">
    <w:name w:val="Date"/>
    <w:basedOn w:val="a"/>
    <w:next w:val="a"/>
    <w:link w:val="ab"/>
    <w:rsid w:val="00200C85"/>
    <w:pPr>
      <w:jc w:val="right"/>
    </w:pPr>
  </w:style>
  <w:style w:type="character" w:customStyle="1" w:styleId="ab">
    <w:name w:val="日期 字元"/>
    <w:link w:val="aa"/>
    <w:rsid w:val="00200C85"/>
    <w:rPr>
      <w:kern w:val="2"/>
      <w:sz w:val="24"/>
      <w:szCs w:val="24"/>
    </w:rPr>
  </w:style>
  <w:style w:type="paragraph" w:styleId="ac">
    <w:name w:val="annotation text"/>
    <w:basedOn w:val="a"/>
    <w:link w:val="ad"/>
    <w:unhideWhenUsed/>
    <w:rsid w:val="00D670E3"/>
    <w:rPr>
      <w:szCs w:val="20"/>
    </w:rPr>
  </w:style>
  <w:style w:type="character" w:customStyle="1" w:styleId="ad">
    <w:name w:val="註解文字 字元"/>
    <w:link w:val="ac"/>
    <w:rsid w:val="00D670E3"/>
    <w:rPr>
      <w:kern w:val="2"/>
      <w:sz w:val="24"/>
    </w:rPr>
  </w:style>
  <w:style w:type="paragraph" w:styleId="ae">
    <w:name w:val="Revision"/>
    <w:hidden/>
    <w:uiPriority w:val="99"/>
    <w:semiHidden/>
    <w:rsid w:val="001758E6"/>
    <w:rPr>
      <w:kern w:val="2"/>
      <w:sz w:val="24"/>
      <w:szCs w:val="24"/>
    </w:rPr>
  </w:style>
  <w:style w:type="numbering" w:customStyle="1" w:styleId="12">
    <w:name w:val="樣式1"/>
    <w:rsid w:val="00342349"/>
    <w:pPr>
      <w:numPr>
        <w:numId w:val="3"/>
      </w:numPr>
    </w:pPr>
  </w:style>
  <w:style w:type="numbering" w:customStyle="1" w:styleId="2">
    <w:name w:val="樣式2"/>
    <w:rsid w:val="004220BE"/>
    <w:pPr>
      <w:numPr>
        <w:numId w:val="4"/>
      </w:numPr>
    </w:pPr>
  </w:style>
  <w:style w:type="numbering" w:customStyle="1" w:styleId="3">
    <w:name w:val="樣式3"/>
    <w:rsid w:val="004A079F"/>
    <w:pPr>
      <w:numPr>
        <w:numId w:val="5"/>
      </w:numPr>
    </w:pPr>
  </w:style>
  <w:style w:type="numbering" w:customStyle="1" w:styleId="4">
    <w:name w:val="樣式4"/>
    <w:rsid w:val="00DE1BC8"/>
    <w:pPr>
      <w:numPr>
        <w:numId w:val="6"/>
      </w:numPr>
    </w:pPr>
  </w:style>
  <w:style w:type="numbering" w:customStyle="1" w:styleId="5">
    <w:name w:val="樣式5"/>
    <w:rsid w:val="00604845"/>
    <w:pPr>
      <w:numPr>
        <w:numId w:val="7"/>
      </w:numPr>
    </w:pPr>
  </w:style>
  <w:style w:type="numbering" w:customStyle="1" w:styleId="6">
    <w:name w:val="樣式6"/>
    <w:rsid w:val="00B13190"/>
    <w:pPr>
      <w:numPr>
        <w:numId w:val="8"/>
      </w:numPr>
    </w:pPr>
  </w:style>
  <w:style w:type="numbering" w:customStyle="1" w:styleId="7">
    <w:name w:val="樣式7"/>
    <w:rsid w:val="00B13190"/>
    <w:pPr>
      <w:numPr>
        <w:numId w:val="9"/>
      </w:numPr>
    </w:pPr>
  </w:style>
  <w:style w:type="numbering" w:customStyle="1" w:styleId="8">
    <w:name w:val="樣式8"/>
    <w:rsid w:val="00372956"/>
    <w:pPr>
      <w:numPr>
        <w:numId w:val="10"/>
      </w:numPr>
    </w:pPr>
  </w:style>
  <w:style w:type="numbering" w:customStyle="1" w:styleId="9">
    <w:name w:val="樣式9"/>
    <w:rsid w:val="00372956"/>
    <w:pPr>
      <w:numPr>
        <w:numId w:val="11"/>
      </w:numPr>
    </w:pPr>
  </w:style>
  <w:style w:type="paragraph" w:styleId="af">
    <w:name w:val="List Paragraph"/>
    <w:basedOn w:val="a"/>
    <w:uiPriority w:val="34"/>
    <w:qFormat/>
    <w:rsid w:val="000F7508"/>
    <w:pPr>
      <w:ind w:leftChars="200" w:left="480"/>
    </w:pPr>
  </w:style>
  <w:style w:type="character" w:customStyle="1" w:styleId="a6">
    <w:name w:val="頁首 字元"/>
    <w:link w:val="a5"/>
    <w:rsid w:val="000F7508"/>
    <w:rPr>
      <w:kern w:val="2"/>
    </w:rPr>
  </w:style>
  <w:style w:type="character" w:styleId="af0">
    <w:name w:val="annotation reference"/>
    <w:rsid w:val="006F3F89"/>
    <w:rPr>
      <w:sz w:val="18"/>
    </w:rPr>
  </w:style>
  <w:style w:type="character" w:customStyle="1" w:styleId="ui-provider">
    <w:name w:val="ui-provider"/>
    <w:rsid w:val="005C6B65"/>
  </w:style>
  <w:style w:type="paragraph" w:styleId="af1">
    <w:name w:val="annotation subject"/>
    <w:basedOn w:val="ac"/>
    <w:next w:val="ac"/>
    <w:link w:val="af2"/>
    <w:rsid w:val="005E2C63"/>
    <w:rPr>
      <w:b/>
      <w:bCs/>
      <w:szCs w:val="24"/>
    </w:rPr>
  </w:style>
  <w:style w:type="character" w:customStyle="1" w:styleId="af2">
    <w:name w:val="註解主旨 字元"/>
    <w:basedOn w:val="ad"/>
    <w:link w:val="af1"/>
    <w:rsid w:val="005E2C63"/>
    <w:rPr>
      <w:b/>
      <w:bCs/>
      <w:kern w:val="2"/>
      <w:sz w:val="24"/>
      <w:szCs w:val="24"/>
    </w:rPr>
  </w:style>
  <w:style w:type="numbering" w:customStyle="1" w:styleId="10">
    <w:name w:val="樣式10"/>
    <w:uiPriority w:val="99"/>
    <w:rsid w:val="006B17D1"/>
    <w:pPr>
      <w:numPr>
        <w:numId w:val="12"/>
      </w:numPr>
    </w:pPr>
  </w:style>
  <w:style w:type="paragraph" w:customStyle="1" w:styleId="H1">
    <w:name w:val="H1"/>
    <w:basedOn w:val="1"/>
    <w:uiPriority w:val="20"/>
    <w:qFormat/>
    <w:pPr>
      <w:numPr>
        <w:numId w:val="2"/>
      </w:numPr>
      <w:ind w:left="567" w:hanging="567"/>
      <w:jc w:val="both"/>
      <w:outlineLvl w:val="0"/>
    </w:pPr>
    <w:rPr>
      <w:rFonts w:ascii="標楷體" w:eastAsia="標楷體" w:hAnsi="標楷體" w:cs="標楷體"/>
    </w:rPr>
  </w:style>
  <w:style w:type="paragraph" w:customStyle="1" w:styleId="H2">
    <w:name w:val="H2"/>
    <w:basedOn w:val="11"/>
    <w:uiPriority w:val="20"/>
    <w:qFormat/>
    <w:pPr>
      <w:numPr>
        <w:numId w:val="2"/>
      </w:numPr>
      <w:outlineLvl w:val="1"/>
    </w:pPr>
    <w:rPr>
      <w:rFonts w:eastAsia="標楷體"/>
    </w:rPr>
  </w:style>
  <w:style w:type="paragraph" w:customStyle="1" w:styleId="H3">
    <w:name w:val="H3"/>
    <w:basedOn w:val="111"/>
    <w:uiPriority w:val="20"/>
    <w:qFormat/>
    <w:pPr>
      <w:numPr>
        <w:numId w:val="2"/>
      </w:numPr>
      <w:outlineLvl w:val="2"/>
    </w:pPr>
    <w:rPr>
      <w:rFonts w:eastAsia="標楷體"/>
    </w:rPr>
  </w:style>
  <w:style w:type="paragraph" w:customStyle="1" w:styleId="H4">
    <w:name w:val="H4"/>
    <w:basedOn w:val="1111"/>
    <w:uiPriority w:val="20"/>
    <w:qFormat/>
    <w:pPr>
      <w:numPr>
        <w:numId w:val="2"/>
      </w:numPr>
      <w:outlineLvl w:val="3"/>
    </w:pPr>
    <w:rPr>
      <w:rFonts w:eastAsia="標楷體"/>
    </w:rPr>
  </w:style>
  <w:style w:type="paragraph" w:customStyle="1" w:styleId="H5">
    <w:name w:val="H5"/>
    <w:basedOn w:val="1111"/>
    <w:uiPriority w:val="20"/>
    <w:qFormat/>
    <w:pPr>
      <w:numPr>
        <w:ilvl w:val="4"/>
        <w:numId w:val="2"/>
      </w:numPr>
      <w:outlineLvl w:val="4"/>
    </w:pPr>
    <w:rPr>
      <w:rFonts w:eastAsia="標楷體"/>
    </w:rPr>
  </w:style>
  <w:style w:type="paragraph" w:customStyle="1" w:styleId="Body">
    <w:name w:val="Body"/>
    <w:basedOn w:val="a"/>
    <w:uiPriority w:val="20"/>
    <w:qFormat/>
    <w:rPr>
      <w:rFonts w:eastAsia="標楷體"/>
    </w:rPr>
  </w:style>
  <w:style w:type="paragraph" w:customStyle="1" w:styleId="BodyEN">
    <w:name w:val="Body EN"/>
    <w:basedOn w:val="a"/>
    <w:uiPriority w:val="20"/>
    <w:qFormat/>
  </w:style>
  <w:style w:type="paragraph" w:customStyle="1" w:styleId="H1EN">
    <w:name w:val="H1_EN"/>
    <w:basedOn w:val="a"/>
    <w:uiPriority w:val="30"/>
    <w:qFormat/>
    <w:pPr>
      <w:ind w:left="567"/>
      <w:jc w:val="both"/>
    </w:pPr>
    <w:rPr>
      <w:rFonts w:eastAsia="標楷體"/>
    </w:rPr>
  </w:style>
  <w:style w:type="paragraph" w:customStyle="1" w:styleId="H2EN">
    <w:name w:val="H2_EN"/>
    <w:basedOn w:val="a"/>
    <w:uiPriority w:val="30"/>
    <w:qFormat/>
    <w:pPr>
      <w:ind w:left="992"/>
      <w:jc w:val="both"/>
    </w:pPr>
    <w:rPr>
      <w:rFonts w:eastAsia="標楷體"/>
    </w:rPr>
  </w:style>
  <w:style w:type="paragraph" w:customStyle="1" w:styleId="H3EN">
    <w:name w:val="H3_EN"/>
    <w:basedOn w:val="a"/>
    <w:uiPriority w:val="30"/>
    <w:qFormat/>
    <w:pPr>
      <w:ind w:left="1418"/>
      <w:jc w:val="both"/>
    </w:pPr>
    <w:rPr>
      <w:rFonts w:eastAsia="標楷體"/>
    </w:rPr>
  </w:style>
  <w:style w:type="paragraph" w:customStyle="1" w:styleId="H4EN">
    <w:name w:val="H4_EN"/>
    <w:basedOn w:val="a"/>
    <w:uiPriority w:val="30"/>
    <w:qFormat/>
    <w:pPr>
      <w:ind w:left="1984"/>
      <w:jc w:val="both"/>
    </w:pPr>
    <w:rPr>
      <w:rFonts w:eastAsia="標楷體"/>
    </w:rPr>
  </w:style>
  <w:style w:type="paragraph" w:customStyle="1" w:styleId="H5EN">
    <w:name w:val="H5_EN"/>
    <w:basedOn w:val="a"/>
    <w:uiPriority w:val="30"/>
    <w:qFormat/>
    <w:pPr>
      <w:ind w:left="2551"/>
      <w:jc w:val="both"/>
    </w:pPr>
    <w:rPr>
      <w:rFonts w:eastAsia="標楷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30303228">
      <w:bodyDiv w:val="1"/>
      <w:marLeft w:val="0"/>
      <w:marRight w:val="0"/>
      <w:marTop w:val="0"/>
      <w:marBottom w:val="0"/>
      <w:divBdr>
        <w:top w:val="none" w:sz="0" w:space="0" w:color="auto"/>
        <w:left w:val="none" w:sz="0" w:space="0" w:color="auto"/>
        <w:bottom w:val="none" w:sz="0" w:space="0" w:color="auto"/>
        <w:right w:val="none" w:sz="0" w:space="0" w:color="auto"/>
      </w:divBdr>
    </w:div>
    <w:div w:id="44987154">
      <w:bodyDiv w:val="1"/>
      <w:marLeft w:val="0"/>
      <w:marRight w:val="0"/>
      <w:marTop w:val="0"/>
      <w:marBottom w:val="0"/>
      <w:divBdr>
        <w:top w:val="none" w:sz="0" w:space="0" w:color="auto"/>
        <w:left w:val="none" w:sz="0" w:space="0" w:color="auto"/>
        <w:bottom w:val="none" w:sz="0" w:space="0" w:color="auto"/>
        <w:right w:val="none" w:sz="0" w:space="0" w:color="auto"/>
      </w:divBdr>
    </w:div>
    <w:div w:id="52780442">
      <w:bodyDiv w:val="1"/>
      <w:marLeft w:val="0"/>
      <w:marRight w:val="0"/>
      <w:marTop w:val="0"/>
      <w:marBottom w:val="0"/>
      <w:divBdr>
        <w:top w:val="none" w:sz="0" w:space="0" w:color="auto"/>
        <w:left w:val="none" w:sz="0" w:space="0" w:color="auto"/>
        <w:bottom w:val="none" w:sz="0" w:space="0" w:color="auto"/>
        <w:right w:val="none" w:sz="0" w:space="0" w:color="auto"/>
      </w:divBdr>
    </w:div>
    <w:div w:id="104079984">
      <w:bodyDiv w:val="1"/>
      <w:marLeft w:val="0"/>
      <w:marRight w:val="0"/>
      <w:marTop w:val="0"/>
      <w:marBottom w:val="0"/>
      <w:divBdr>
        <w:top w:val="none" w:sz="0" w:space="0" w:color="auto"/>
        <w:left w:val="none" w:sz="0" w:space="0" w:color="auto"/>
        <w:bottom w:val="none" w:sz="0" w:space="0" w:color="auto"/>
        <w:right w:val="none" w:sz="0" w:space="0" w:color="auto"/>
      </w:divBdr>
    </w:div>
    <w:div w:id="206987338">
      <w:bodyDiv w:val="1"/>
      <w:marLeft w:val="0"/>
      <w:marRight w:val="0"/>
      <w:marTop w:val="0"/>
      <w:marBottom w:val="0"/>
      <w:divBdr>
        <w:top w:val="none" w:sz="0" w:space="0" w:color="auto"/>
        <w:left w:val="none" w:sz="0" w:space="0" w:color="auto"/>
        <w:bottom w:val="none" w:sz="0" w:space="0" w:color="auto"/>
        <w:right w:val="none" w:sz="0" w:space="0" w:color="auto"/>
      </w:divBdr>
    </w:div>
    <w:div w:id="276254202">
      <w:bodyDiv w:val="1"/>
      <w:marLeft w:val="0"/>
      <w:marRight w:val="0"/>
      <w:marTop w:val="0"/>
      <w:marBottom w:val="0"/>
      <w:divBdr>
        <w:top w:val="none" w:sz="0" w:space="0" w:color="auto"/>
        <w:left w:val="none" w:sz="0" w:space="0" w:color="auto"/>
        <w:bottom w:val="none" w:sz="0" w:space="0" w:color="auto"/>
        <w:right w:val="none" w:sz="0" w:space="0" w:color="auto"/>
      </w:divBdr>
    </w:div>
    <w:div w:id="282226586">
      <w:bodyDiv w:val="1"/>
      <w:marLeft w:val="0"/>
      <w:marRight w:val="0"/>
      <w:marTop w:val="0"/>
      <w:marBottom w:val="0"/>
      <w:divBdr>
        <w:top w:val="none" w:sz="0" w:space="0" w:color="auto"/>
        <w:left w:val="none" w:sz="0" w:space="0" w:color="auto"/>
        <w:bottom w:val="none" w:sz="0" w:space="0" w:color="auto"/>
        <w:right w:val="none" w:sz="0" w:space="0" w:color="auto"/>
      </w:divBdr>
      <w:divsChild>
        <w:div w:id="1449545587">
          <w:marLeft w:val="0"/>
          <w:marRight w:val="0"/>
          <w:marTop w:val="120"/>
          <w:marBottom w:val="0"/>
          <w:divBdr>
            <w:top w:val="none" w:sz="0" w:space="0" w:color="auto"/>
            <w:left w:val="none" w:sz="0" w:space="0" w:color="auto"/>
            <w:bottom w:val="none" w:sz="0" w:space="0" w:color="auto"/>
            <w:right w:val="none" w:sz="0" w:space="0" w:color="auto"/>
          </w:divBdr>
        </w:div>
      </w:divsChild>
    </w:div>
    <w:div w:id="307441678">
      <w:bodyDiv w:val="1"/>
      <w:marLeft w:val="0"/>
      <w:marRight w:val="0"/>
      <w:marTop w:val="0"/>
      <w:marBottom w:val="0"/>
      <w:divBdr>
        <w:top w:val="none" w:sz="0" w:space="0" w:color="auto"/>
        <w:left w:val="none" w:sz="0" w:space="0" w:color="auto"/>
        <w:bottom w:val="none" w:sz="0" w:space="0" w:color="auto"/>
        <w:right w:val="none" w:sz="0" w:space="0" w:color="auto"/>
      </w:divBdr>
    </w:div>
    <w:div w:id="310671957">
      <w:bodyDiv w:val="1"/>
      <w:marLeft w:val="0"/>
      <w:marRight w:val="0"/>
      <w:marTop w:val="0"/>
      <w:marBottom w:val="0"/>
      <w:divBdr>
        <w:top w:val="none" w:sz="0" w:space="0" w:color="auto"/>
        <w:left w:val="none" w:sz="0" w:space="0" w:color="auto"/>
        <w:bottom w:val="none" w:sz="0" w:space="0" w:color="auto"/>
        <w:right w:val="none" w:sz="0" w:space="0" w:color="auto"/>
      </w:divBdr>
    </w:div>
    <w:div w:id="461849993">
      <w:bodyDiv w:val="1"/>
      <w:marLeft w:val="0"/>
      <w:marRight w:val="0"/>
      <w:marTop w:val="0"/>
      <w:marBottom w:val="0"/>
      <w:divBdr>
        <w:top w:val="none" w:sz="0" w:space="0" w:color="auto"/>
        <w:left w:val="none" w:sz="0" w:space="0" w:color="auto"/>
        <w:bottom w:val="none" w:sz="0" w:space="0" w:color="auto"/>
        <w:right w:val="none" w:sz="0" w:space="0" w:color="auto"/>
      </w:divBdr>
      <w:divsChild>
        <w:div w:id="897740782">
          <w:marLeft w:val="0"/>
          <w:marRight w:val="0"/>
          <w:marTop w:val="0"/>
          <w:marBottom w:val="0"/>
          <w:divBdr>
            <w:top w:val="none" w:sz="0" w:space="0" w:color="auto"/>
            <w:left w:val="none" w:sz="0" w:space="0" w:color="auto"/>
            <w:bottom w:val="none" w:sz="0" w:space="0" w:color="auto"/>
            <w:right w:val="none" w:sz="0" w:space="0" w:color="auto"/>
          </w:divBdr>
          <w:divsChild>
            <w:div w:id="392628236">
              <w:marLeft w:val="60"/>
              <w:marRight w:val="0"/>
              <w:marTop w:val="0"/>
              <w:marBottom w:val="0"/>
              <w:divBdr>
                <w:top w:val="none" w:sz="0" w:space="0" w:color="auto"/>
                <w:left w:val="none" w:sz="0" w:space="0" w:color="auto"/>
                <w:bottom w:val="none" w:sz="0" w:space="0" w:color="auto"/>
                <w:right w:val="none" w:sz="0" w:space="0" w:color="auto"/>
              </w:divBdr>
              <w:divsChild>
                <w:div w:id="619844443">
                  <w:marLeft w:val="0"/>
                  <w:marRight w:val="0"/>
                  <w:marTop w:val="0"/>
                  <w:marBottom w:val="0"/>
                  <w:divBdr>
                    <w:top w:val="none" w:sz="0" w:space="0" w:color="auto"/>
                    <w:left w:val="none" w:sz="0" w:space="0" w:color="auto"/>
                    <w:bottom w:val="none" w:sz="0" w:space="0" w:color="auto"/>
                    <w:right w:val="none" w:sz="0" w:space="0" w:color="auto"/>
                  </w:divBdr>
                  <w:divsChild>
                    <w:div w:id="1083985930">
                      <w:marLeft w:val="0"/>
                      <w:marRight w:val="0"/>
                      <w:marTop w:val="0"/>
                      <w:marBottom w:val="120"/>
                      <w:divBdr>
                        <w:top w:val="single" w:sz="6" w:space="0" w:color="F5F5F5"/>
                        <w:left w:val="single" w:sz="6" w:space="0" w:color="F5F5F5"/>
                        <w:bottom w:val="single" w:sz="6" w:space="0" w:color="F5F5F5"/>
                        <w:right w:val="single" w:sz="6" w:space="0" w:color="F5F5F5"/>
                      </w:divBdr>
                      <w:divsChild>
                        <w:div w:id="722021661">
                          <w:marLeft w:val="0"/>
                          <w:marRight w:val="0"/>
                          <w:marTop w:val="0"/>
                          <w:marBottom w:val="0"/>
                          <w:divBdr>
                            <w:top w:val="none" w:sz="0" w:space="0" w:color="auto"/>
                            <w:left w:val="none" w:sz="0" w:space="0" w:color="auto"/>
                            <w:bottom w:val="none" w:sz="0" w:space="0" w:color="auto"/>
                            <w:right w:val="none" w:sz="0" w:space="0" w:color="auto"/>
                          </w:divBdr>
                          <w:divsChild>
                            <w:div w:id="126361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370995">
          <w:marLeft w:val="0"/>
          <w:marRight w:val="0"/>
          <w:marTop w:val="0"/>
          <w:marBottom w:val="0"/>
          <w:divBdr>
            <w:top w:val="none" w:sz="0" w:space="0" w:color="auto"/>
            <w:left w:val="none" w:sz="0" w:space="0" w:color="auto"/>
            <w:bottom w:val="none" w:sz="0" w:space="0" w:color="auto"/>
            <w:right w:val="none" w:sz="0" w:space="0" w:color="auto"/>
          </w:divBdr>
          <w:divsChild>
            <w:div w:id="1042944508">
              <w:marLeft w:val="0"/>
              <w:marRight w:val="60"/>
              <w:marTop w:val="0"/>
              <w:marBottom w:val="0"/>
              <w:divBdr>
                <w:top w:val="none" w:sz="0" w:space="0" w:color="auto"/>
                <w:left w:val="none" w:sz="0" w:space="0" w:color="auto"/>
                <w:bottom w:val="none" w:sz="0" w:space="0" w:color="auto"/>
                <w:right w:val="none" w:sz="0" w:space="0" w:color="auto"/>
              </w:divBdr>
              <w:divsChild>
                <w:div w:id="290601990">
                  <w:marLeft w:val="0"/>
                  <w:marRight w:val="0"/>
                  <w:marTop w:val="180"/>
                  <w:marBottom w:val="240"/>
                  <w:divBdr>
                    <w:top w:val="none" w:sz="0" w:space="0" w:color="auto"/>
                    <w:left w:val="none" w:sz="0" w:space="0" w:color="auto"/>
                    <w:bottom w:val="none" w:sz="0" w:space="0" w:color="auto"/>
                    <w:right w:val="none" w:sz="0" w:space="0" w:color="auto"/>
                  </w:divBdr>
                </w:div>
                <w:div w:id="453837481">
                  <w:marLeft w:val="0"/>
                  <w:marRight w:val="0"/>
                  <w:marTop w:val="0"/>
                  <w:marBottom w:val="120"/>
                  <w:divBdr>
                    <w:top w:val="single" w:sz="6" w:space="0" w:color="C0C0C0"/>
                    <w:left w:val="single" w:sz="6" w:space="0" w:color="D9D9D9"/>
                    <w:bottom w:val="single" w:sz="6" w:space="0" w:color="D9D9D9"/>
                    <w:right w:val="single" w:sz="6" w:space="0" w:color="D9D9D9"/>
                  </w:divBdr>
                  <w:divsChild>
                    <w:div w:id="892232753">
                      <w:marLeft w:val="0"/>
                      <w:marRight w:val="0"/>
                      <w:marTop w:val="0"/>
                      <w:marBottom w:val="0"/>
                      <w:divBdr>
                        <w:top w:val="none" w:sz="0" w:space="0" w:color="auto"/>
                        <w:left w:val="none" w:sz="0" w:space="0" w:color="auto"/>
                        <w:bottom w:val="none" w:sz="0" w:space="0" w:color="auto"/>
                        <w:right w:val="none" w:sz="0" w:space="0" w:color="auto"/>
                      </w:divBdr>
                    </w:div>
                    <w:div w:id="139711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515713">
      <w:bodyDiv w:val="1"/>
      <w:marLeft w:val="0"/>
      <w:marRight w:val="0"/>
      <w:marTop w:val="0"/>
      <w:marBottom w:val="0"/>
      <w:divBdr>
        <w:top w:val="none" w:sz="0" w:space="0" w:color="auto"/>
        <w:left w:val="none" w:sz="0" w:space="0" w:color="auto"/>
        <w:bottom w:val="none" w:sz="0" w:space="0" w:color="auto"/>
        <w:right w:val="none" w:sz="0" w:space="0" w:color="auto"/>
      </w:divBdr>
    </w:div>
    <w:div w:id="555821123">
      <w:bodyDiv w:val="1"/>
      <w:marLeft w:val="0"/>
      <w:marRight w:val="0"/>
      <w:marTop w:val="0"/>
      <w:marBottom w:val="0"/>
      <w:divBdr>
        <w:top w:val="none" w:sz="0" w:space="0" w:color="auto"/>
        <w:left w:val="none" w:sz="0" w:space="0" w:color="auto"/>
        <w:bottom w:val="none" w:sz="0" w:space="0" w:color="auto"/>
        <w:right w:val="none" w:sz="0" w:space="0" w:color="auto"/>
      </w:divBdr>
    </w:div>
    <w:div w:id="618489034">
      <w:bodyDiv w:val="1"/>
      <w:marLeft w:val="0"/>
      <w:marRight w:val="0"/>
      <w:marTop w:val="0"/>
      <w:marBottom w:val="0"/>
      <w:divBdr>
        <w:top w:val="none" w:sz="0" w:space="0" w:color="auto"/>
        <w:left w:val="none" w:sz="0" w:space="0" w:color="auto"/>
        <w:bottom w:val="none" w:sz="0" w:space="0" w:color="auto"/>
        <w:right w:val="none" w:sz="0" w:space="0" w:color="auto"/>
      </w:divBdr>
    </w:div>
    <w:div w:id="622081957">
      <w:bodyDiv w:val="1"/>
      <w:marLeft w:val="0"/>
      <w:marRight w:val="0"/>
      <w:marTop w:val="0"/>
      <w:marBottom w:val="0"/>
      <w:divBdr>
        <w:top w:val="none" w:sz="0" w:space="0" w:color="auto"/>
        <w:left w:val="none" w:sz="0" w:space="0" w:color="auto"/>
        <w:bottom w:val="none" w:sz="0" w:space="0" w:color="auto"/>
        <w:right w:val="none" w:sz="0" w:space="0" w:color="auto"/>
      </w:divBdr>
    </w:div>
    <w:div w:id="706754365">
      <w:bodyDiv w:val="1"/>
      <w:marLeft w:val="0"/>
      <w:marRight w:val="0"/>
      <w:marTop w:val="0"/>
      <w:marBottom w:val="0"/>
      <w:divBdr>
        <w:top w:val="none" w:sz="0" w:space="0" w:color="auto"/>
        <w:left w:val="none" w:sz="0" w:space="0" w:color="auto"/>
        <w:bottom w:val="none" w:sz="0" w:space="0" w:color="auto"/>
        <w:right w:val="none" w:sz="0" w:space="0" w:color="auto"/>
      </w:divBdr>
    </w:div>
    <w:div w:id="716123087">
      <w:bodyDiv w:val="1"/>
      <w:marLeft w:val="0"/>
      <w:marRight w:val="0"/>
      <w:marTop w:val="0"/>
      <w:marBottom w:val="0"/>
      <w:divBdr>
        <w:top w:val="none" w:sz="0" w:space="0" w:color="auto"/>
        <w:left w:val="none" w:sz="0" w:space="0" w:color="auto"/>
        <w:bottom w:val="none" w:sz="0" w:space="0" w:color="auto"/>
        <w:right w:val="none" w:sz="0" w:space="0" w:color="auto"/>
      </w:divBdr>
    </w:div>
    <w:div w:id="741029795">
      <w:bodyDiv w:val="1"/>
      <w:marLeft w:val="0"/>
      <w:marRight w:val="0"/>
      <w:marTop w:val="0"/>
      <w:marBottom w:val="0"/>
      <w:divBdr>
        <w:top w:val="none" w:sz="0" w:space="0" w:color="auto"/>
        <w:left w:val="none" w:sz="0" w:space="0" w:color="auto"/>
        <w:bottom w:val="none" w:sz="0" w:space="0" w:color="auto"/>
        <w:right w:val="none" w:sz="0" w:space="0" w:color="auto"/>
      </w:divBdr>
    </w:div>
    <w:div w:id="761536559">
      <w:bodyDiv w:val="1"/>
      <w:marLeft w:val="0"/>
      <w:marRight w:val="0"/>
      <w:marTop w:val="0"/>
      <w:marBottom w:val="0"/>
      <w:divBdr>
        <w:top w:val="none" w:sz="0" w:space="0" w:color="auto"/>
        <w:left w:val="none" w:sz="0" w:space="0" w:color="auto"/>
        <w:bottom w:val="none" w:sz="0" w:space="0" w:color="auto"/>
        <w:right w:val="none" w:sz="0" w:space="0" w:color="auto"/>
      </w:divBdr>
    </w:div>
    <w:div w:id="767500946">
      <w:bodyDiv w:val="1"/>
      <w:marLeft w:val="0"/>
      <w:marRight w:val="0"/>
      <w:marTop w:val="0"/>
      <w:marBottom w:val="0"/>
      <w:divBdr>
        <w:top w:val="none" w:sz="0" w:space="0" w:color="auto"/>
        <w:left w:val="none" w:sz="0" w:space="0" w:color="auto"/>
        <w:bottom w:val="none" w:sz="0" w:space="0" w:color="auto"/>
        <w:right w:val="none" w:sz="0" w:space="0" w:color="auto"/>
      </w:divBdr>
    </w:div>
    <w:div w:id="776678838">
      <w:bodyDiv w:val="1"/>
      <w:marLeft w:val="0"/>
      <w:marRight w:val="0"/>
      <w:marTop w:val="0"/>
      <w:marBottom w:val="0"/>
      <w:divBdr>
        <w:top w:val="none" w:sz="0" w:space="0" w:color="auto"/>
        <w:left w:val="none" w:sz="0" w:space="0" w:color="auto"/>
        <w:bottom w:val="none" w:sz="0" w:space="0" w:color="auto"/>
        <w:right w:val="none" w:sz="0" w:space="0" w:color="auto"/>
      </w:divBdr>
    </w:div>
    <w:div w:id="789980484">
      <w:bodyDiv w:val="1"/>
      <w:marLeft w:val="0"/>
      <w:marRight w:val="0"/>
      <w:marTop w:val="0"/>
      <w:marBottom w:val="0"/>
      <w:divBdr>
        <w:top w:val="none" w:sz="0" w:space="0" w:color="auto"/>
        <w:left w:val="none" w:sz="0" w:space="0" w:color="auto"/>
        <w:bottom w:val="none" w:sz="0" w:space="0" w:color="auto"/>
        <w:right w:val="none" w:sz="0" w:space="0" w:color="auto"/>
      </w:divBdr>
    </w:div>
    <w:div w:id="826820129">
      <w:bodyDiv w:val="1"/>
      <w:marLeft w:val="0"/>
      <w:marRight w:val="0"/>
      <w:marTop w:val="0"/>
      <w:marBottom w:val="0"/>
      <w:divBdr>
        <w:top w:val="none" w:sz="0" w:space="0" w:color="auto"/>
        <w:left w:val="none" w:sz="0" w:space="0" w:color="auto"/>
        <w:bottom w:val="none" w:sz="0" w:space="0" w:color="auto"/>
        <w:right w:val="none" w:sz="0" w:space="0" w:color="auto"/>
      </w:divBdr>
    </w:div>
    <w:div w:id="908274632">
      <w:bodyDiv w:val="1"/>
      <w:marLeft w:val="0"/>
      <w:marRight w:val="0"/>
      <w:marTop w:val="0"/>
      <w:marBottom w:val="0"/>
      <w:divBdr>
        <w:top w:val="none" w:sz="0" w:space="0" w:color="auto"/>
        <w:left w:val="none" w:sz="0" w:space="0" w:color="auto"/>
        <w:bottom w:val="none" w:sz="0" w:space="0" w:color="auto"/>
        <w:right w:val="none" w:sz="0" w:space="0" w:color="auto"/>
      </w:divBdr>
    </w:div>
    <w:div w:id="983853601">
      <w:bodyDiv w:val="1"/>
      <w:marLeft w:val="0"/>
      <w:marRight w:val="0"/>
      <w:marTop w:val="0"/>
      <w:marBottom w:val="0"/>
      <w:divBdr>
        <w:top w:val="none" w:sz="0" w:space="0" w:color="auto"/>
        <w:left w:val="none" w:sz="0" w:space="0" w:color="auto"/>
        <w:bottom w:val="none" w:sz="0" w:space="0" w:color="auto"/>
        <w:right w:val="none" w:sz="0" w:space="0" w:color="auto"/>
      </w:divBdr>
    </w:div>
    <w:div w:id="1194608261">
      <w:bodyDiv w:val="1"/>
      <w:marLeft w:val="0"/>
      <w:marRight w:val="0"/>
      <w:marTop w:val="0"/>
      <w:marBottom w:val="0"/>
      <w:divBdr>
        <w:top w:val="none" w:sz="0" w:space="0" w:color="auto"/>
        <w:left w:val="none" w:sz="0" w:space="0" w:color="auto"/>
        <w:bottom w:val="none" w:sz="0" w:space="0" w:color="auto"/>
        <w:right w:val="none" w:sz="0" w:space="0" w:color="auto"/>
      </w:divBdr>
    </w:div>
    <w:div w:id="1255474384">
      <w:bodyDiv w:val="1"/>
      <w:marLeft w:val="0"/>
      <w:marRight w:val="0"/>
      <w:marTop w:val="0"/>
      <w:marBottom w:val="0"/>
      <w:divBdr>
        <w:top w:val="none" w:sz="0" w:space="0" w:color="auto"/>
        <w:left w:val="none" w:sz="0" w:space="0" w:color="auto"/>
        <w:bottom w:val="none" w:sz="0" w:space="0" w:color="auto"/>
        <w:right w:val="none" w:sz="0" w:space="0" w:color="auto"/>
      </w:divBdr>
    </w:div>
    <w:div w:id="1409040341">
      <w:bodyDiv w:val="1"/>
      <w:marLeft w:val="0"/>
      <w:marRight w:val="0"/>
      <w:marTop w:val="0"/>
      <w:marBottom w:val="0"/>
      <w:divBdr>
        <w:top w:val="none" w:sz="0" w:space="0" w:color="auto"/>
        <w:left w:val="none" w:sz="0" w:space="0" w:color="auto"/>
        <w:bottom w:val="none" w:sz="0" w:space="0" w:color="auto"/>
        <w:right w:val="none" w:sz="0" w:space="0" w:color="auto"/>
      </w:divBdr>
    </w:div>
    <w:div w:id="1412193167">
      <w:bodyDiv w:val="1"/>
      <w:marLeft w:val="0"/>
      <w:marRight w:val="0"/>
      <w:marTop w:val="0"/>
      <w:marBottom w:val="0"/>
      <w:divBdr>
        <w:top w:val="none" w:sz="0" w:space="0" w:color="auto"/>
        <w:left w:val="none" w:sz="0" w:space="0" w:color="auto"/>
        <w:bottom w:val="none" w:sz="0" w:space="0" w:color="auto"/>
        <w:right w:val="none" w:sz="0" w:space="0" w:color="auto"/>
      </w:divBdr>
    </w:div>
    <w:div w:id="1448767612">
      <w:bodyDiv w:val="1"/>
      <w:marLeft w:val="0"/>
      <w:marRight w:val="0"/>
      <w:marTop w:val="0"/>
      <w:marBottom w:val="0"/>
      <w:divBdr>
        <w:top w:val="none" w:sz="0" w:space="0" w:color="auto"/>
        <w:left w:val="none" w:sz="0" w:space="0" w:color="auto"/>
        <w:bottom w:val="none" w:sz="0" w:space="0" w:color="auto"/>
        <w:right w:val="none" w:sz="0" w:space="0" w:color="auto"/>
      </w:divBdr>
      <w:divsChild>
        <w:div w:id="507981953">
          <w:marLeft w:val="0"/>
          <w:marRight w:val="0"/>
          <w:marTop w:val="120"/>
          <w:marBottom w:val="0"/>
          <w:divBdr>
            <w:top w:val="none" w:sz="0" w:space="0" w:color="auto"/>
            <w:left w:val="none" w:sz="0" w:space="0" w:color="auto"/>
            <w:bottom w:val="none" w:sz="0" w:space="0" w:color="auto"/>
            <w:right w:val="none" w:sz="0" w:space="0" w:color="auto"/>
          </w:divBdr>
        </w:div>
      </w:divsChild>
    </w:div>
    <w:div w:id="1470247786">
      <w:bodyDiv w:val="1"/>
      <w:marLeft w:val="0"/>
      <w:marRight w:val="0"/>
      <w:marTop w:val="0"/>
      <w:marBottom w:val="0"/>
      <w:divBdr>
        <w:top w:val="none" w:sz="0" w:space="0" w:color="auto"/>
        <w:left w:val="none" w:sz="0" w:space="0" w:color="auto"/>
        <w:bottom w:val="none" w:sz="0" w:space="0" w:color="auto"/>
        <w:right w:val="none" w:sz="0" w:space="0" w:color="auto"/>
      </w:divBdr>
    </w:div>
    <w:div w:id="1531335297">
      <w:bodyDiv w:val="1"/>
      <w:marLeft w:val="0"/>
      <w:marRight w:val="0"/>
      <w:marTop w:val="0"/>
      <w:marBottom w:val="0"/>
      <w:divBdr>
        <w:top w:val="none" w:sz="0" w:space="0" w:color="auto"/>
        <w:left w:val="none" w:sz="0" w:space="0" w:color="auto"/>
        <w:bottom w:val="none" w:sz="0" w:space="0" w:color="auto"/>
        <w:right w:val="none" w:sz="0" w:space="0" w:color="auto"/>
      </w:divBdr>
    </w:div>
    <w:div w:id="1732999174">
      <w:bodyDiv w:val="1"/>
      <w:marLeft w:val="0"/>
      <w:marRight w:val="0"/>
      <w:marTop w:val="0"/>
      <w:marBottom w:val="0"/>
      <w:divBdr>
        <w:top w:val="none" w:sz="0" w:space="0" w:color="auto"/>
        <w:left w:val="none" w:sz="0" w:space="0" w:color="auto"/>
        <w:bottom w:val="none" w:sz="0" w:space="0" w:color="auto"/>
        <w:right w:val="none" w:sz="0" w:space="0" w:color="auto"/>
      </w:divBdr>
    </w:div>
    <w:div w:id="1875921772">
      <w:bodyDiv w:val="1"/>
      <w:marLeft w:val="0"/>
      <w:marRight w:val="0"/>
      <w:marTop w:val="0"/>
      <w:marBottom w:val="0"/>
      <w:divBdr>
        <w:top w:val="none" w:sz="0" w:space="0" w:color="auto"/>
        <w:left w:val="none" w:sz="0" w:space="0" w:color="auto"/>
        <w:bottom w:val="none" w:sz="0" w:space="0" w:color="auto"/>
        <w:right w:val="none" w:sz="0" w:space="0" w:color="auto"/>
      </w:divBdr>
      <w:divsChild>
        <w:div w:id="1399017287">
          <w:marLeft w:val="0"/>
          <w:marRight w:val="0"/>
          <w:marTop w:val="0"/>
          <w:marBottom w:val="0"/>
          <w:divBdr>
            <w:top w:val="none" w:sz="0" w:space="0" w:color="auto"/>
            <w:left w:val="none" w:sz="0" w:space="0" w:color="auto"/>
            <w:bottom w:val="none" w:sz="0" w:space="0" w:color="auto"/>
            <w:right w:val="none" w:sz="0" w:space="0" w:color="auto"/>
          </w:divBdr>
          <w:divsChild>
            <w:div w:id="629558763">
              <w:marLeft w:val="60"/>
              <w:marRight w:val="0"/>
              <w:marTop w:val="0"/>
              <w:marBottom w:val="0"/>
              <w:divBdr>
                <w:top w:val="none" w:sz="0" w:space="0" w:color="auto"/>
                <w:left w:val="none" w:sz="0" w:space="0" w:color="auto"/>
                <w:bottom w:val="none" w:sz="0" w:space="0" w:color="auto"/>
                <w:right w:val="none" w:sz="0" w:space="0" w:color="auto"/>
              </w:divBdr>
              <w:divsChild>
                <w:div w:id="674109352">
                  <w:marLeft w:val="0"/>
                  <w:marRight w:val="0"/>
                  <w:marTop w:val="0"/>
                  <w:marBottom w:val="0"/>
                  <w:divBdr>
                    <w:top w:val="none" w:sz="0" w:space="0" w:color="auto"/>
                    <w:left w:val="none" w:sz="0" w:space="0" w:color="auto"/>
                    <w:bottom w:val="none" w:sz="0" w:space="0" w:color="auto"/>
                    <w:right w:val="none" w:sz="0" w:space="0" w:color="auto"/>
                  </w:divBdr>
                  <w:divsChild>
                    <w:div w:id="1473870491">
                      <w:marLeft w:val="0"/>
                      <w:marRight w:val="0"/>
                      <w:marTop w:val="0"/>
                      <w:marBottom w:val="120"/>
                      <w:divBdr>
                        <w:top w:val="single" w:sz="6" w:space="0" w:color="F5F5F5"/>
                        <w:left w:val="single" w:sz="6" w:space="0" w:color="F5F5F5"/>
                        <w:bottom w:val="single" w:sz="6" w:space="0" w:color="F5F5F5"/>
                        <w:right w:val="single" w:sz="6" w:space="0" w:color="F5F5F5"/>
                      </w:divBdr>
                      <w:divsChild>
                        <w:div w:id="577717262">
                          <w:marLeft w:val="0"/>
                          <w:marRight w:val="0"/>
                          <w:marTop w:val="0"/>
                          <w:marBottom w:val="0"/>
                          <w:divBdr>
                            <w:top w:val="none" w:sz="0" w:space="0" w:color="auto"/>
                            <w:left w:val="none" w:sz="0" w:space="0" w:color="auto"/>
                            <w:bottom w:val="none" w:sz="0" w:space="0" w:color="auto"/>
                            <w:right w:val="none" w:sz="0" w:space="0" w:color="auto"/>
                          </w:divBdr>
                          <w:divsChild>
                            <w:div w:id="86193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423736">
          <w:marLeft w:val="0"/>
          <w:marRight w:val="0"/>
          <w:marTop w:val="0"/>
          <w:marBottom w:val="0"/>
          <w:divBdr>
            <w:top w:val="none" w:sz="0" w:space="0" w:color="auto"/>
            <w:left w:val="none" w:sz="0" w:space="0" w:color="auto"/>
            <w:bottom w:val="none" w:sz="0" w:space="0" w:color="auto"/>
            <w:right w:val="none" w:sz="0" w:space="0" w:color="auto"/>
          </w:divBdr>
          <w:divsChild>
            <w:div w:id="1542864316">
              <w:marLeft w:val="0"/>
              <w:marRight w:val="60"/>
              <w:marTop w:val="0"/>
              <w:marBottom w:val="0"/>
              <w:divBdr>
                <w:top w:val="none" w:sz="0" w:space="0" w:color="auto"/>
                <w:left w:val="none" w:sz="0" w:space="0" w:color="auto"/>
                <w:bottom w:val="none" w:sz="0" w:space="0" w:color="auto"/>
                <w:right w:val="none" w:sz="0" w:space="0" w:color="auto"/>
              </w:divBdr>
              <w:divsChild>
                <w:div w:id="1044721559">
                  <w:marLeft w:val="0"/>
                  <w:marRight w:val="0"/>
                  <w:marTop w:val="180"/>
                  <w:marBottom w:val="240"/>
                  <w:divBdr>
                    <w:top w:val="none" w:sz="0" w:space="0" w:color="auto"/>
                    <w:left w:val="none" w:sz="0" w:space="0" w:color="auto"/>
                    <w:bottom w:val="none" w:sz="0" w:space="0" w:color="auto"/>
                    <w:right w:val="none" w:sz="0" w:space="0" w:color="auto"/>
                  </w:divBdr>
                </w:div>
                <w:div w:id="1330475227">
                  <w:marLeft w:val="0"/>
                  <w:marRight w:val="0"/>
                  <w:marTop w:val="0"/>
                  <w:marBottom w:val="120"/>
                  <w:divBdr>
                    <w:top w:val="single" w:sz="6" w:space="0" w:color="A0A0A0"/>
                    <w:left w:val="single" w:sz="6" w:space="0" w:color="B9B9B9"/>
                    <w:bottom w:val="single" w:sz="6" w:space="0" w:color="B9B9B9"/>
                    <w:right w:val="single" w:sz="6" w:space="0" w:color="B9B9B9"/>
                  </w:divBdr>
                  <w:divsChild>
                    <w:div w:id="849568426">
                      <w:marLeft w:val="0"/>
                      <w:marRight w:val="0"/>
                      <w:marTop w:val="0"/>
                      <w:marBottom w:val="0"/>
                      <w:divBdr>
                        <w:top w:val="none" w:sz="0" w:space="0" w:color="auto"/>
                        <w:left w:val="none" w:sz="0" w:space="0" w:color="auto"/>
                        <w:bottom w:val="none" w:sz="0" w:space="0" w:color="auto"/>
                        <w:right w:val="none" w:sz="0" w:space="0" w:color="auto"/>
                      </w:divBdr>
                    </w:div>
                    <w:div w:id="11929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175297">
      <w:bodyDiv w:val="1"/>
      <w:marLeft w:val="0"/>
      <w:marRight w:val="0"/>
      <w:marTop w:val="0"/>
      <w:marBottom w:val="0"/>
      <w:divBdr>
        <w:top w:val="none" w:sz="0" w:space="0" w:color="auto"/>
        <w:left w:val="none" w:sz="0" w:space="0" w:color="auto"/>
        <w:bottom w:val="none" w:sz="0" w:space="0" w:color="auto"/>
        <w:right w:val="none" w:sz="0" w:space="0" w:color="auto"/>
      </w:divBdr>
    </w:div>
    <w:div w:id="2064675025">
      <w:bodyDiv w:val="1"/>
      <w:marLeft w:val="0"/>
      <w:marRight w:val="0"/>
      <w:marTop w:val="0"/>
      <w:marBottom w:val="0"/>
      <w:divBdr>
        <w:top w:val="none" w:sz="0" w:space="0" w:color="auto"/>
        <w:left w:val="none" w:sz="0" w:space="0" w:color="auto"/>
        <w:bottom w:val="none" w:sz="0" w:space="0" w:color="auto"/>
        <w:right w:val="none" w:sz="0" w:space="0" w:color="auto"/>
      </w:divBdr>
    </w:div>
    <w:div w:id="207476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035EC-1059-4DCB-9B6A-98D1B0F3E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33</Pages>
  <Words>16539</Words>
  <Characters>41278</Characters>
  <Application>Microsoft Office Word</Application>
  <DocSecurity>0</DocSecurity>
  <Lines>343</Lines>
  <Paragraphs>115</Paragraphs>
  <ScaleCrop>false</ScaleCrop>
  <HeadingPairs>
    <vt:vector size="2" baseType="variant">
      <vt:variant>
        <vt:lpstr>Title</vt:lpstr>
      </vt:variant>
      <vt:variant>
        <vt:i4>1</vt:i4>
      </vt:variant>
    </vt:vector>
  </HeadingPairs>
  <TitlesOfParts>
    <vt:vector size="1" baseType="lpstr">
      <vt:lpstr>一、</vt:lpstr>
    </vt:vector>
  </TitlesOfParts>
  <Company>ICP Electronics Inc.</Company>
  <LinksUpToDate>false</LinksUpToDate>
  <CharactersWithSpaces>57702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dc:title>
  <dc:subject/>
  <dc:creator>Enders</dc:creator>
  <cp:keywords/>
  <cp:lastModifiedBy>StanleyS Huang 黃士展</cp:lastModifiedBy>
  <cp:revision>134</cp:revision>
  <cp:lastPrinted>2006-11-21T06:59:00Z</cp:lastPrinted>
  <dcterms:created xsi:type="dcterms:W3CDTF">2026-05-22T10:41:00Z</dcterms:created>
  <dcterms:modified xsi:type="dcterms:W3CDTF">2026-05-27T17:10:00Z</dcterms:modified>
</cp:coreProperties>
</file>