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57A78"/>
          <w:sz w:val="18"/>
        </w:rPr>
        <w:t>四人团队  /  两名需求负责人  /  Codex 辅助开发</w:t>
      </w:r>
    </w:p>
    <w:p>
      <w:pPr>
        <w:pStyle w:val="Title"/>
      </w:pPr>
      <w:r>
        <w:t>HealthLoop</w:t>
        <w:br/>
        <w:t>健康循环</w:t>
      </w:r>
    </w:p>
    <w:p>
      <w:r>
        <w:t>商业计划书・产品需求规格・协作及发币方案</w:t>
      </w:r>
    </w:p>
    <w:p>
      <w:r>
        <w:t>把健康纪录变成可以持续参与的日常任务，而不是把运动包装成投资回报。</w:t>
      </w:r>
    </w:p>
    <w:p>
      <w:pPr>
        <w:pStyle w:val="Heading2"/>
      </w:pPr>
      <w:r>
        <w:t>执行摘要</w:t>
      </w:r>
    </w:p>
    <w:p>
      <w:r>
        <w:t>HealthLoop 是一个面向都市成年人的健康习惯与奖励平台。使用者授权读取现有健康资料后，完成可负担的步行任务，获得平台活动积分、徽章及经核准的福利。企业可购买健康活动管理服务，品牌可购买不使用健康资料定向的赞助曝光。</w:t>
      </w:r>
    </w:p>
    <w:p>
      <w:r>
        <w:t>产品交付范围：iOS优先的可运作App、真实步数读取、可得睡眠及心率显示、服务器任务与积分账本、简易后台、赞助卡片，以及与正式产品隔离的两款钱包测试网示范。Android完整支持、真实商户核销及主网代币按独立条件评估。</w:t>
      </w:r>
    </w:p>
    <w:p>
      <w:r>
        <w:t>发币定位：先证明使用者愿意持续使用、机构愿意付费，再评估代币能否提供跨伙伴可携性或可验证分配。合法、可持续而且符合分发平台要求，才考虑真正发行；永久维持积分制亦属合格商业结果。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164"/>
      </w:tblGrid>
      <w:tr>
        <w:trPr>
          <w:cantSplit/>
          <w:tblHeader/>
        </w:trPr>
        <w:tc>
          <w:tcPr>
            <w:tcW w:type="dxa" w:w="1814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规划尺度</w:t>
            </w:r>
          </w:p>
        </w:tc>
        <w:tc>
          <w:tcPr>
            <w:tcW w:type="dxa" w:w="8164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本方案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团队与责任</w:t>
            </w:r>
          </w:p>
        </w:tc>
        <w:tc>
          <w:tcPr>
            <w:tcW w:type="dxa" w:w="816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四人协作；需求仅由B／C负责并交叉复核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开发方式</w:t>
            </w:r>
          </w:p>
        </w:tc>
        <w:tc>
          <w:tcPr>
            <w:tcW w:type="dxa" w:w="81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Codex辅助实现；按功能依赖与验收证据推进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现金预算</w:t>
            </w:r>
          </w:p>
        </w:tc>
        <w:tc>
          <w:tcPr>
            <w:tcW w:type="dxa" w:w="816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HK$45,000，未询价；不包括主网发币及创办人薪酬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需求清单</w:t>
            </w:r>
          </w:p>
        </w:tc>
        <w:tc>
          <w:tcPr>
            <w:tcW w:type="dxa" w:w="81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58项，由B／C两人负责：36项P0、8项LAB、8项P1、6项P2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市场及命名</w:t>
            </w:r>
          </w:p>
        </w:tc>
        <w:tc>
          <w:tcPr>
            <w:tcW w:type="dxa" w:w="816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香港为试点假设；HealthLoop／HLT均为未检索工作名称</w:t>
            </w:r>
          </w:p>
        </w:tc>
      </w:tr>
    </w:tbl>
    <w:p>
      <w:pPr>
        <w:spacing w:before="100"/>
      </w:pPr>
      <w:r>
        <w:rPr>
          <w:color w:val="617184"/>
          <w:sz w:val="18"/>
        </w:rPr>
        <w:t>本文件是规划交付，不代表App已开发、已有合作商户、已取得市场需求证据或已获准发币。除官方引用外，价格、用户量、预算、留存门槛及代币配置均为待验证假设。查核日：2026-09-18。</w:t>
      </w:r>
    </w:p>
    <w:p>
      <w:r>
        <w:br w:type="page"/>
      </w:r>
    </w:p>
    <w:p>
      <w:pPr>
        <w:pStyle w:val="Heading1"/>
      </w:pPr>
      <w:r>
        <w:t>01｜项目范围与决策原则</w:t>
      </w:r>
    </w:p>
    <w:p>
      <w:pPr>
        <w:pStyle w:val="Heading2"/>
      </w:pPr>
      <w:r>
        <w:t>保留原构想，调整落地次序</w:t>
      </w:r>
    </w:p>
    <w:p>
      <w:r>
        <w:t>保留「现成健康资料＋任务奖励＋钱包示范＋商业变现」四个方向，但把正式可用产品与研究示范分开。AI编程可协助实作，不能取代实机权限、资料正确性、帐本安全、平台审查和商业验证。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654"/>
      </w:tblGrid>
      <w:tr>
        <w:trPr>
          <w:cantSplit/>
          <w:tblHeader/>
        </w:trPr>
        <w:tc>
          <w:tcPr>
            <w:tcW w:type="dxa" w:w="2324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原始说法</w:t>
            </w:r>
          </w:p>
        </w:tc>
        <w:tc>
          <w:tcPr>
            <w:tcW w:type="dxa" w:w="7654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本计划采用的可执行版本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市场需求可以编出来</w:t>
            </w:r>
          </w:p>
        </w:tc>
        <w:tc>
          <w:tcPr>
            <w:tcW w:type="dxa" w:w="765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市场需求写成可被推翻的假设；访谈、付费意向及试点才是证据，不捏造问卷或合作。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手机都能量度各种指标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读取已存在且获授权的资料；步数、睡眠与心率来源不同。缺资料就显示缺资料，不自行补造。 [S05]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做任务可领未发行货币</w:t>
            </w:r>
          </w:p>
        </w:tc>
        <w:tc>
          <w:tcPr>
            <w:tcW w:type="dxa" w:w="765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正式首版使用不可转让积分；不得声称日后固定兑币。无价值test token只存在独立示范。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已有维持币价公式</w:t>
            </w:r>
          </w:p>
        </w:tc>
        <w:tc>
          <w:tcPr>
            <w:tcW w:type="dxa" w:w="765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可参考配置、解锁与使用机制，不能保证价值；需求、卖压、现金及流动性须分别测试。</w:t>
            </w:r>
          </w:p>
        </w:tc>
      </w:tr>
    </w:tbl>
    <w:p>
      <w:pPr>
        <w:pStyle w:val="Heading2"/>
      </w:pPr>
      <w:r>
        <w:t>平台政策形成真正的产品边界</w:t>
      </w:r>
    </w:p>
    <w:p>
      <w:r>
        <w:t>Apple对完成任务换加密货币有明文限制；独立网页并非自动合规的绕道，TestFlight亦不是豁免渠道。正式App不放隐藏钱包、主网claim或兑币开关。Google AdMob禁止以加密货币等直接金钱项目作奖励广告回报。 [S01–S02]</w:t>
      </w:r>
    </w:p>
    <w:p>
      <w:r>
        <w:t>Apple及Google均限制把健康资料用作广告或行销。即使用户按「同意」，也不表示可以违反平台禁止用途；移除姓名或改成健康标签，仍不能当作可出售的广告受众。 [S01、S03]</w:t>
      </w:r>
    </w:p>
    <w:p>
      <w:pPr>
        <w:pStyle w:val="Heading2"/>
      </w:pPr>
      <w:r>
        <w:t>三条互不混淆的轨道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164"/>
      </w:tblGrid>
      <w:tr>
        <w:trPr>
          <w:cantSplit/>
          <w:tblHeader/>
        </w:trPr>
        <w:tc>
          <w:tcPr>
            <w:tcW w:type="dxa" w:w="1814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轨道</w:t>
            </w:r>
          </w:p>
        </w:tc>
        <w:tc>
          <w:tcPr>
            <w:tcW w:type="dxa" w:w="8164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交付／限制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正式积分版</w:t>
            </w:r>
          </w:p>
        </w:tc>
        <w:tc>
          <w:tcPr>
            <w:tcW w:type="dxa" w:w="816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真实健康同步、任务、平台积分；没有价格、现金兑换或token承诺。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Web3 Lab</w:t>
            </w:r>
          </w:p>
        </w:tc>
        <w:tc>
          <w:tcPr>
            <w:tcW w:type="dxa" w:w="81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不同专案及资料库；合成任务；两钱包、签署及测试币分发；不用真实健康资料。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条件式主网</w:t>
            </w:r>
          </w:p>
        </w:tc>
        <w:tc>
          <w:tcPr>
            <w:tcW w:type="dxa" w:w="816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先做法律、渠道、安全、买家需求及现金覆盖评估；通过后才重新设计分发。</w:t>
            </w:r>
          </w:p>
        </w:tc>
      </w:tr>
    </w:tbl>
    <w:p>
      <w:r>
        <w:br w:type="page"/>
      </w:r>
    </w:p>
    <w:p>
      <w:pPr>
        <w:pStyle w:val="Heading1"/>
      </w:pPr>
      <w:r>
        <w:t>02｜需求、目标客户与市场证据</w:t>
      </w:r>
    </w:p>
    <w:p>
      <w:pPr>
        <w:pStyle w:val="Heading2"/>
      </w:pPr>
      <w:r>
        <w:t>使用者与付费者不是同一群人</w:t>
      </w:r>
    </w:p>
    <w:p>
      <w:r>
        <w:t>首批使用者假设为18岁以上、想建立活动习惯而非专业竞赛的都市人；先从团队能接触的校友、社群及中小企业招募。付费者假设为需要组织员工健康活动的人力资源部、品牌或场地营运者。首版不要求购买保险、NFT或代币才能参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365"/>
        <w:gridCol w:w="4195"/>
      </w:tblGrid>
      <w:tr>
        <w:trPr>
          <w:cantSplit/>
          <w:tblHeader/>
        </w:trPr>
        <w:tc>
          <w:tcPr>
            <w:tcW w:type="dxa" w:w="1417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365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待解决问题</w:t>
            </w:r>
          </w:p>
        </w:tc>
        <w:tc>
          <w:tcPr>
            <w:tcW w:type="dxa" w:w="4195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需要的验证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个人</w:t>
            </w:r>
          </w:p>
        </w:tc>
        <w:tc>
          <w:tcPr>
            <w:tcW w:type="dxa" w:w="436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知道应该活动，但记录之后没有行动与持续回馈。</w:t>
            </w:r>
          </w:p>
        </w:tc>
        <w:tc>
          <w:tcPr>
            <w:tcW w:type="dxa" w:w="419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访谈既有习惯；观察任务使用、退出原因及后续回访。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企业</w:t>
            </w:r>
          </w:p>
        </w:tc>
        <w:tc>
          <w:tcPr>
            <w:tcW w:type="dxa" w:w="436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健康活动难组织、参与率低、缺少可交付的服务。</w:t>
            </w:r>
          </w:p>
        </w:tc>
        <w:tc>
          <w:tcPr>
            <w:tcW w:type="dxa" w:w="419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10次买家访谈；确认预算持有人、采购周期、可接受报价。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赞助品牌</w:t>
            </w:r>
          </w:p>
        </w:tc>
        <w:tc>
          <w:tcPr>
            <w:tcW w:type="dxa" w:w="436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希望接触健康生活内容的受众，但不应取得个人健康资料。</w:t>
            </w:r>
          </w:p>
        </w:tc>
        <w:tc>
          <w:tcPr>
            <w:tcW w:type="dxa" w:w="419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确认愿意为内容／曝光付费，而非购买健康名单。</w:t>
            </w:r>
          </w:p>
        </w:tc>
      </w:tr>
    </w:tbl>
    <w:p>
      <w:pPr>
        <w:pStyle w:val="Heading2"/>
      </w:pPr>
      <w:r>
        <w:t>现有案例证明类别存在，不证明新项目必定成功</w:t>
      </w:r>
    </w:p>
    <w:p>
      <w:r>
        <w:t>AIA Vitality在香港以健康行为积分及指定产品优惠连结健康与福利，可作本地案例，但其保险资格、品牌、精算及商户资源不能直接套用到初创。本计划不宣称与AIA有合作，亦不承诺降低任何保费。 [S07]</w:t>
      </w:r>
    </w:p>
    <w:p>
      <w:r>
        <w:t>STEPN白皮书描述活动与GST/GMT代币；SWEAT亦有活动及代币模型。两者可用来比较发放、消耗、反作弊及长期使用情境，不引用其宣传数字作本项目的市场规模或回报证据。 [S08–S09]</w:t>
      </w:r>
    </w:p>
    <w:p>
      <w:pPr>
        <w:pStyle w:val="Heading2"/>
      </w:pPr>
      <w:r>
        <w:t>不硬填虚构TAM</w:t>
      </w:r>
    </w:p>
    <w:p>
      <w:r>
        <w:t>第一版市场推算采由下而上：可实际接触的合资格机构数 × 可成交比例 × 经验证年费。例：100家名单 × 10%成交 × HK$36,000年费＝HK$360,000年收入机会；三个输入都只是示例，不是市场研究结果。</w:t>
      </w:r>
    </w:p>
    <w:p>
      <w:r>
        <w:t>差异化假设是简体中文使用体验、低门槛、无需购币、可信任资料处理，以及小型机构也买得起的活动管理。真正竞争优势需靠留存、可服务的买家与执行积累，而不是“有AI”或“有token”。</w:t>
      </w:r>
    </w:p>
    <w:p>
      <w:r>
        <w:br w:type="page"/>
      </w:r>
    </w:p>
    <w:p>
      <w:pPr>
        <w:pStyle w:val="Heading1"/>
      </w:pPr>
      <w:r>
        <w:t>03｜商业模式与定价假设</w:t>
      </w:r>
    </w:p>
    <w:p>
      <w:pPr>
        <w:pStyle w:val="Heading2"/>
      </w:pPr>
      <w:r>
        <w:t>收入次序：企业服务 → 赞助 → 商户佣金 → 广告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025"/>
        <w:gridCol w:w="4252"/>
      </w:tblGrid>
      <w:tr>
        <w:trPr>
          <w:cantSplit/>
          <w:tblHeader/>
        </w:trPr>
        <w:tc>
          <w:tcPr>
            <w:tcW w:type="dxa" w:w="1701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收入线</w:t>
            </w:r>
          </w:p>
        </w:tc>
        <w:tc>
          <w:tcPr>
            <w:tcW w:type="dxa" w:w="4025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初期服务内容</w:t>
            </w:r>
          </w:p>
        </w:tc>
        <w:tc>
          <w:tcPr>
            <w:tcW w:type="dxa" w:w="4252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定价测试／注意事项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企业健康挑战</w:t>
            </w:r>
          </w:p>
        </w:tc>
        <w:tc>
          <w:tcPr>
            <w:tcW w:type="dxa" w:w="402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活动设定、招募素材、参与支持、行政报告。</w:t>
            </w:r>
          </w:p>
        </w:tc>
        <w:tc>
          <w:tcPr>
            <w:tcW w:type="dxa" w:w="4252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试点服务费HK$3,000–8,000；不售个人步数或健康排名。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品牌直接赞助</w:t>
            </w:r>
          </w:p>
        </w:tc>
        <w:tc>
          <w:tcPr>
            <w:tcW w:type="dxa" w:w="402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内容或活动冠名、固定非健康定向版位、素材投放。</w:t>
            </w:r>
          </w:p>
        </w:tc>
        <w:tc>
          <w:tcPr>
            <w:tcW w:type="dxa" w:w="42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每活动HK$3,000–10,000；不是先有流量才猜高收入。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商户合作</w:t>
            </w:r>
          </w:p>
        </w:tc>
        <w:tc>
          <w:tcPr>
            <w:tcW w:type="dxa" w:w="402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有真实合约的优惠、已核实订单或核销佣金。</w:t>
            </w:r>
          </w:p>
        </w:tc>
        <w:tc>
          <w:tcPr>
            <w:tcW w:type="dxa" w:w="4252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佣金率留待洽谈；不得把交易总额当收入。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展示广告</w:t>
            </w:r>
          </w:p>
        </w:tc>
        <w:tc>
          <w:tcPr>
            <w:tcW w:type="dxa" w:w="402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非奖励型广告；首版以第一方示范／直接赞助卡片。</w:t>
            </w:r>
          </w:p>
        </w:tc>
        <w:tc>
          <w:tcPr>
            <w:tcW w:type="dxa" w:w="425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AdMob后置；eCPM及填充率以实测取代假设。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付费版／订阅</w:t>
            </w:r>
          </w:p>
        </w:tc>
        <w:tc>
          <w:tcPr>
            <w:tcW w:type="dxa" w:w="402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较深入的个人化介面或管理功能。</w:t>
            </w:r>
          </w:p>
        </w:tc>
        <w:tc>
          <w:tcPr>
            <w:tcW w:type="dxa" w:w="4252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P1之后才测；遵守适用的商店付费规则。</w:t>
            </w:r>
          </w:p>
        </w:tc>
      </w:tr>
    </w:tbl>
    <w:p>
      <w:pPr>
        <w:pStyle w:val="Heading2"/>
      </w:pPr>
      <w:r>
        <w:t>一个可以拿去见客的试点产品</w:t>
      </w:r>
    </w:p>
    <w:p>
      <w:r>
        <w:t>「HealthLoop健康挑战」：最多100名成年人、3组可选步行目标、可关闭的活动提醒、一般使用支持，以及活动参与行政报告。试报HK$5,000服务／赞助费，具体奖励及履约成本另作报价或清楚列入成本。活动安排由实际合同确定。</w:t>
      </w:r>
    </w:p>
    <w:p>
      <w:r>
        <w:t>报告不提供员工个别健康资料，不把参加与否用于招聘、考绩或保险资格。健康成效报告只有在平台与法律准许、用途必要且取得适当同意后才评估，不能以「已匿名」作为自动豁免。 [S01、S03、S12]</w:t>
      </w:r>
    </w:p>
    <w:p>
      <w:pPr>
        <w:pStyle w:val="Heading2"/>
      </w:pPr>
      <w:r>
        <w:t>现金流与收入确认</w:t>
      </w:r>
    </w:p>
    <w:p>
      <w:r>
        <w:t>合约应定义交付、名额、退款、未用奖池及资料责任。服务收入、平台承担的奖励成本、客户代管预付奖池及商户代收款分开记帐；是否以总额或净额列帐，按实际主责／代理安排及会计意见处理。代币发售不是广告收入，国库代币升值亦不是可支付薪金的现金。</w:t>
      </w:r>
    </w:p>
    <w:p>
      <w:r>
        <w:t>ESG只作可验证的健康参与与治理叙事：鼓励可持续习惯、提供无惩罚休息模式、透明处理资料。不把一般步行直接当成减碳量，也不宣称已改善疾病、已认证社企或自动提升企业ESG评级。</w:t>
      </w:r>
    </w:p>
    <w:p>
      <w:r>
        <w:br w:type="page"/>
      </w:r>
    </w:p>
    <w:p>
      <w:pPr>
        <w:pStyle w:val="Heading1"/>
      </w:pPr>
      <w:r>
        <w:t>04｜市场验证与获客</w:t>
      </w:r>
    </w:p>
    <w:p>
      <w:pPr>
        <w:pStyle w:val="Heading2"/>
      </w:pPr>
      <w:r>
        <w:t>先招募可接触的小群体，不花钱买「领币人数」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4309"/>
        <w:gridCol w:w="4365"/>
      </w:tblGrid>
      <w:tr>
        <w:trPr>
          <w:cantSplit/>
          <w:tblHeader/>
        </w:trPr>
        <w:tc>
          <w:tcPr>
            <w:tcW w:type="dxa" w:w="1304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验证类别</w:t>
            </w:r>
          </w:p>
        </w:tc>
        <w:tc>
          <w:tcPr>
            <w:tcW w:type="dxa" w:w="4309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行动</w:t>
            </w:r>
          </w:p>
        </w:tc>
        <w:tc>
          <w:tcPr>
            <w:tcW w:type="dxa" w:w="4365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合格证据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用户研究</w:t>
            </w:r>
          </w:p>
        </w:tc>
        <w:tc>
          <w:tcPr>
            <w:tcW w:type="dxa" w:w="430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20次个人访谈；一半为非加密使用者；理解过往行为。</w:t>
            </w:r>
          </w:p>
        </w:tc>
        <w:tc>
          <w:tcPr>
            <w:tcW w:type="dxa" w:w="436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记录真实情境、退出原因及资料疑虑；不以「喜不喜欢」代替需求。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买家研究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10次买家访谈；两个价格版本；询问采购与预算。</w:t>
            </w:r>
          </w:p>
        </w:tc>
        <w:tc>
          <w:tcPr>
            <w:tcW w:type="dxa" w:w="436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确认决策者、付款范围及下一步；意向不是收入。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原型／安装</w:t>
            </w:r>
          </w:p>
        </w:tc>
        <w:tc>
          <w:tcPr>
            <w:tcW w:type="dxa" w:w="430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原型测试；邀首批30–50名成年人安装可测版本。</w:t>
            </w:r>
          </w:p>
        </w:tc>
        <w:tc>
          <w:tcPr>
            <w:tcW w:type="dxa" w:w="436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取得同意；纪录启动率及卡关；不以TestFlight测试换报酬。 [S01]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试点意向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运行小型挑战；争取2份明确试点意向书。</w:t>
            </w:r>
          </w:p>
        </w:tc>
        <w:tc>
          <w:tcPr>
            <w:tcW w:type="dxa" w:w="436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写明参与名额、预算、服务范围和资料边界；不得先放未授权logo。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成效复核</w:t>
            </w:r>
          </w:p>
        </w:tc>
        <w:tc>
          <w:tcPr>
            <w:tcW w:type="dxa" w:w="430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分析留存、访谈退出者、展示付费意向及成本。</w:t>
            </w:r>
          </w:p>
        </w:tc>
        <w:tc>
          <w:tcPr>
            <w:tcW w:type="dxa" w:w="436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D28仅分析足够观察期cohort；未观察不可当成0或填造。</w:t>
            </w:r>
          </w:p>
        </w:tc>
      </w:tr>
    </w:tbl>
    <w:p>
      <w:pPr>
        <w:pStyle w:val="Heading2"/>
      </w:pPr>
      <w:r>
        <w:t>需要回答的访谈问题</w:t>
      </w:r>
    </w:p>
    <w:p>
      <w:r>
        <w:t>个人端：最近一次想增加活动而失败是什么时候？现在用什么记录工具？什么原因令你不再打开？愿意授权哪些资料？在无现金／无币价承诺下，哪一种任务或福利仍有吸引力？</w:t>
      </w:r>
    </w:p>
    <w:p>
      <w:r>
        <w:t>买家端：上一个员工健康活动花了多少？谁签批预算？怎样衡量活动值不值？是否接受没有个人健康名单的报告？看到原型后，能否安排付费试点或有条件采购意向？</w:t>
      </w:r>
    </w:p>
    <w:p>
      <w:pPr>
        <w:pStyle w:val="Heading2"/>
      </w:pPr>
      <w:r>
        <w:t>Go / No-Go，而非硬把差结果写好</w:t>
      </w:r>
    </w:p>
    <w:p>
      <w:r>
        <w:t>建议验证目标：完成20次个人和10次买家访谈；30–50名早期测试者；启动率≥60%；D7留存≥30%；至少1个愿意讨论明确付费试点的买家。全部是管理目标，并非预测或已达成成绩。</w:t>
      </w:r>
    </w:p>
    <w:p>
      <w:r>
        <w:t>若用户只因预期币价才回来，应降低Web3宣传并重新测习惯价值。若买家不肯付费，缩小目标客群或调整服务，不以发币收入掩盖问题。公开材料同时呈现正面、负面与尚未有答案的结果。</w:t>
      </w:r>
    </w:p>
    <w:p>
      <w:r>
        <w:br w:type="page"/>
      </w:r>
    </w:p>
    <w:p>
      <w:pPr>
        <w:pStyle w:val="Heading1"/>
      </w:pPr>
      <w:r>
        <w:t>05｜App体验与任务设计</w:t>
      </w:r>
    </w:p>
    <w:p>
      <w:pPr>
        <w:pStyle w:val="Heading2"/>
      </w:pPr>
      <w:r>
        <w:t>主流程</w:t>
      </w:r>
    </w:p>
    <w:p>
      <w:r>
        <w:t>开始使用 → 阅读用途及自愿授权 → 读取可得健康资料 → 显示今日可计奖步数与更新时间 → 查看／完成任务 → 伺服器核实 → 积分流水入帐 → 取得平台徽章或合资格福利 → 查看历史与调整设定。使用钱包不是入门条件。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8050"/>
      </w:tblGrid>
      <w:tr>
        <w:trPr>
          <w:cantSplit/>
          <w:tblHeader/>
        </w:trPr>
        <w:tc>
          <w:tcPr>
            <w:tcW w:type="dxa" w:w="1928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8050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首版内容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首次使用／设定</w:t>
            </w:r>
          </w:p>
        </w:tc>
        <w:tc>
          <w:tcPr>
            <w:tcW w:type="dxa" w:w="805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电邮登入、成年人确认、分开同意、非医疗说明、汇出和删除入口。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健康首页</w:t>
            </w:r>
          </w:p>
        </w:tc>
        <w:tc>
          <w:tcPr>
            <w:tcW w:type="dxa" w:w="805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今日步数、7天历史、资料来源；可得的睡眠与心率只读显示。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任务中心</w:t>
            </w:r>
          </w:p>
        </w:tc>
        <w:tc>
          <w:tcPr>
            <w:tcW w:type="dxa" w:w="805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目标、积分、有效期、上限、pending／完成状态、个别低门槛选项。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积分与奖励</w:t>
            </w:r>
          </w:p>
        </w:tc>
        <w:tc>
          <w:tcPr>
            <w:tcW w:type="dxa" w:w="805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不可转让积分、流水、平台徽章、明确标示不可用的示范券。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营运后台</w:t>
            </w:r>
          </w:p>
        </w:tc>
        <w:tc>
          <w:tcPr>
            <w:tcW w:type="dxa" w:w="805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任务发布与版本、审核、冻结新奖励、申诉、赞助素材及帐目纪录。</w:t>
            </w:r>
          </w:p>
        </w:tc>
      </w:tr>
    </w:tbl>
    <w:p>
      <w:pPr>
        <w:pStyle w:val="Heading2"/>
      </w:pPr>
      <w:r>
        <w:t>示例规则：简单、可核对、避免越多越好</w:t>
      </w:r>
    </w:p>
    <w:p>
      <w:r>
        <w:t>每天按最高达到的级别计分：3,000步得10分、5,000步得20分、7,000步得30分；不是10＋20＋30。当日由3,000步升至5,000步，只补10分。门槛是产品测试设定，不是医疗建议。</w:t>
      </w:r>
    </w:p>
    <w:p>
      <w:r>
        <w:t>每周至少3个日历日达到选定最低目标，可得一次20分；休息不罚款、不倒扣、不要求买道具补签。每日步行积分上限30分，周额外奖励上限20分。心率、减磅及「睡得越久」不作货币化奖励。</w:t>
      </w:r>
    </w:p>
    <w:p>
      <w:pPr>
        <w:pStyle w:val="Heading2"/>
      </w:pPr>
      <w:r>
        <w:t>日界线、迟到与更正</w:t>
      </w:r>
    </w:p>
    <w:p>
      <w:r>
        <w:t>首轮香港试点以Asia/Hong_Kong任务日界线结算；活动资料保留原始时区。翌日指定截止时间前允许同步前一天资料，截止后的新输入不自动补奖。来源删除、修订或争议，以可稽核冲销处理，不直接改旧流水。改规则只影响新任务版本。</w:t>
      </w:r>
    </w:p>
    <w:p>
      <w:r>
        <w:t>没有相容穿戴装置的使用者仍可做步行任务；睡眠及心率显示「未有可读资料」，不当作0，也不把读取失败武断判为拒绝授权。正式App不写入虚假资料至健康资料库。 [S01、S05]</w:t>
      </w:r>
    </w:p>
    <w:p>
      <w:r>
        <w:br w:type="page"/>
      </w:r>
    </w:p>
    <w:p>
      <w:pPr>
        <w:pStyle w:val="Heading1"/>
      </w:pPr>
      <w:r>
        <w:t>06｜技术架构与开发方式</w:t>
      </w:r>
    </w:p>
    <w:p>
      <w:pPr>
        <w:pStyle w:val="Heading2"/>
      </w:pPr>
      <w:r>
        <w:t>建议技术栈：以同一套语言与小型服务降低负担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4365"/>
        <w:gridCol w:w="4309"/>
      </w:tblGrid>
      <w:tr>
        <w:trPr>
          <w:cantSplit/>
          <w:tblHeader/>
        </w:trPr>
        <w:tc>
          <w:tcPr>
            <w:tcW w:type="dxa" w:w="1304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4365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建议方案</w:t>
            </w:r>
          </w:p>
        </w:tc>
        <w:tc>
          <w:tcPr>
            <w:tcW w:type="dxa" w:w="4309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限制／验证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手机</w:t>
            </w:r>
          </w:p>
        </w:tc>
        <w:tc>
          <w:tcPr>
            <w:tcW w:type="dxa" w:w="436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React Native＋TypeScript；Expo development build；iOS先行。</w:t>
            </w:r>
          </w:p>
        </w:tc>
        <w:tc>
          <w:tcPr>
            <w:tcW w:type="dxa" w:w="430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原生健康模组须实机测试；Expo Go并不足够。 [S13]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健康介面</w:t>
            </w:r>
          </w:p>
        </w:tc>
        <w:tc>
          <w:tcPr>
            <w:tcW w:type="dxa" w:w="436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HealthKit读取；Android Health Connect列P1。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读取现成资料，非重新开发医疗感测器。 [S05–S06]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后端</w:t>
            </w:r>
          </w:p>
        </w:tc>
        <w:tc>
          <w:tcPr>
            <w:tcW w:type="dxa" w:w="436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Supabase Auth＋PostgreSQL＋RLS；TypeScript伺服器函式。</w:t>
            </w:r>
          </w:p>
        </w:tc>
        <w:tc>
          <w:tcPr>
            <w:tcW w:type="dxa" w:w="430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客户端不能直接写入ledger；service key只放伺服器。 [S18]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后台</w:t>
            </w:r>
          </w:p>
        </w:tc>
        <w:tc>
          <w:tcPr>
            <w:tcW w:type="dxa" w:w="436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React／Next.js简易管理台；独立管理角色。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同一repository可共用schema，但权限与环境隔离。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Web3 Lab</w:t>
            </w:r>
          </w:p>
        </w:tc>
        <w:tc>
          <w:tcPr>
            <w:tcW w:type="dxa" w:w="436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React＋Reown；Base Sepolia；OpenZeppelin ERC20。</w:t>
            </w:r>
          </w:p>
        </w:tc>
        <w:tc>
          <w:tcPr>
            <w:tcW w:type="dxa" w:w="430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先验证两款钱包；禁止主网地址及真实健康资料。 [S14–S16]</w:t>
            </w:r>
          </w:p>
        </w:tc>
      </w:tr>
    </w:tbl>
    <w:p>
      <w:pPr>
        <w:pStyle w:val="Heading2"/>
      </w:pPr>
      <w:r>
        <w:t>核心资料表</w:t>
      </w:r>
    </w:p>
    <w:p>
      <w:r>
        <w:t>profiles、consents、daily_activity_summaries、missions、mission_versions、mission_progress、point_ledger、reward_catalog、redemptions、risk_flags、admin_audit。Lab另设wallet_sessions、test_entitlements、test_claims，不能共用正式使用者ID或健康摘要。</w:t>
      </w:r>
    </w:p>
    <w:p>
      <w:r>
        <w:t>健康摘要只保存最少必要栏位，例如使用者内部ID、任务日期、来源分类、可奖励步数、同步时间及规则版本；原始睡眠片段与心率序列在首版留在装置。来源分类与摘要仍是敏感资料，需要权限、加密、保存期及删除控制。</w:t>
      </w:r>
    </w:p>
    <w:p>
      <w:pPr>
        <w:pStyle w:val="Heading2"/>
      </w:pPr>
      <w:r>
        <w:t>必要API及帐本交易</w:t>
      </w:r>
    </w:p>
    <w:p>
      <w:r>
        <w:t>POST /activity/sync、GET /missions、POST /missions/{id}/claim、GET /points/ledger、POST /redemptions、DELETE /account；管理接口另作权限。Lab只使用/api/lab下的nonce、verify、entitlement、claim。</w:t>
      </w:r>
    </w:p>
    <w:p>
      <w:r>
        <w:t>Claim不能相信手机送来的完成状态或奖励金额：读取伺服器已接受摘要 → 核对任务及规则版本 → 写入唯一claim → 同一资料库transaction写ledger → 回传结果。唯一键包含user、mission instance与规则版本；升级级别只派差额。</w:t>
      </w:r>
    </w:p>
    <w:p>
      <w:pPr>
        <w:spacing w:before="100"/>
      </w:pPr>
      <w:r>
        <w:rPr>
          <w:color w:val="617184"/>
          <w:sz w:val="18"/>
        </w:rPr>
        <w:t>健康来源本身不是链上可验证的「真实运动证明」。后端最多降低作弊风险，不能把手机输入当成无需信任的oracle。</w:t>
      </w:r>
    </w:p>
    <w:p>
      <w:r>
        <w:br w:type="page"/>
      </w:r>
    </w:p>
    <w:p>
      <w:pPr>
        <w:pStyle w:val="Heading1"/>
      </w:pPr>
      <w:r>
        <w:t>07｜私隐、安全与反作弊</w:t>
      </w:r>
    </w:p>
    <w:p>
      <w:pPr>
        <w:pStyle w:val="Heading2"/>
      </w:pPr>
      <w:r>
        <w:t>资料保护采用最少化，不先收集再决定用途</w:t>
      </w:r>
    </w:p>
    <w:p>
      <w:r>
        <w:t>正式版只请求目前用到的类别，区分本机读取、必要云端摘要与行销同意。未同意云端同步仍可保留本机展示，但不可得到需伺服器核实的积分。不得强迫用户同意追踪或不必要权限才能参与。香港PDPO的收集、用途、保存、安全及查阅／更正原则须纳入设计。 [S01、S03、S12]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710"/>
      </w:tblGrid>
      <w:tr>
        <w:trPr>
          <w:cantSplit/>
          <w:tblHeader/>
        </w:trPr>
        <w:tc>
          <w:tcPr>
            <w:tcW w:type="dxa" w:w="2268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7710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首版控制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手动填步数／多来源重复</w:t>
            </w:r>
          </w:p>
        </w:tc>
        <w:tc>
          <w:tcPr>
            <w:tcW w:type="dxa" w:w="771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来源白名单、排除手动输入作奖励、区分显示与计奖摘要、去重。未知来源进待核实。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重复请求／多帐户</w:t>
            </w:r>
          </w:p>
        </w:tc>
        <w:tc>
          <w:tcPr>
            <w:tcW w:type="dxa" w:w="771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伺服器限速、一次性claim、上限、异常旗标；同一装置多帐户只作风险讯号，避免误判。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手机改时钟／补填历史</w:t>
            </w:r>
          </w:p>
        </w:tc>
        <w:tc>
          <w:tcPr>
            <w:tcW w:type="dxa" w:w="771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任务以伺服器时钟为准；固定试点时区；限制补同步窗口。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后台滥权</w:t>
            </w:r>
          </w:p>
        </w:tc>
        <w:tc>
          <w:tcPr>
            <w:tcW w:type="dxa" w:w="771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角色分工、登入保护、审计日志；积分调整有理由；高风险操作第二人确认。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SDK资料外流</w:t>
            </w:r>
          </w:p>
        </w:tc>
        <w:tc>
          <w:tcPr>
            <w:tcW w:type="dxa" w:w="771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第一方事件白名单；网路封包检查；不传健康值、健康标签或可推论的任务状态给广告SDK。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程式／密钥外泄</w:t>
            </w:r>
          </w:p>
        </w:tc>
        <w:tc>
          <w:tcPr>
            <w:tcW w:type="dxa" w:w="771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密钥不放App或Git；分环境；最少权限；自动扫描；受影响时停止发新奖励。</w:t>
            </w:r>
          </w:p>
        </w:tc>
      </w:tr>
    </w:tbl>
    <w:p>
      <w:pPr>
        <w:pStyle w:val="Heading2"/>
      </w:pPr>
      <w:r>
        <w:t>建议保留与删除规则（仍需法律／营运确认）</w:t>
      </w:r>
    </w:p>
    <w:p>
      <w:r>
        <w:t>原始健康样本首版不传云端。每日任务摘要建议滚动保留90日；申诉个案视必要性个别延长并记录依据。积分／兑换纪录依实际履约、审计及法律需要另定期间，不一律永久保留。删除帐户后停止新同步并移除不再需要的可识别资料；备份亦需有轮替删除安排。</w:t>
      </w:r>
    </w:p>
    <w:p>
      <w:r>
        <w:t>任何实际链上地址、交易及其可连结资讯可能永久公开。Lab只用独立测试身份；未来若上主网，必须另外告知不可逆与可追踪性，不能把个人健康值、健康hash或可回推个人的凭证放上链。</w:t>
      </w:r>
    </w:p>
    <w:p>
      <w:pPr>
        <w:pStyle w:val="Heading2"/>
      </w:pPr>
      <w:r>
        <w:t>仍需明确披露的技术限制</w:t>
      </w:r>
    </w:p>
    <w:p>
      <w:r>
        <w:t>感测器摇动、root／jailbreak、源头伪造与多人共享帐户仍可能绕过简单规则；P1才加入更强装置风险讯号。发币前须在更大样本量做滥用测试和外部安全复核，不应承诺「100%防作弊」。</w:t>
      </w:r>
    </w:p>
    <w:p>
      <w:r>
        <w:br w:type="page"/>
      </w:r>
    </w:p>
    <w:p>
      <w:pPr>
        <w:pStyle w:val="Heading1"/>
      </w:pPr>
      <w:r>
        <w:t>08｜指标、事件与成效解读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669"/>
        <w:gridCol w:w="2608"/>
      </w:tblGrid>
      <w:tr>
        <w:trPr>
          <w:cantSplit/>
          <w:tblHeader/>
        </w:trPr>
        <w:tc>
          <w:tcPr>
            <w:tcW w:type="dxa" w:w="1701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669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严格定义</w:t>
            </w:r>
          </w:p>
        </w:tc>
        <w:tc>
          <w:tcPr>
            <w:tcW w:type="dxa" w:w="2608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首轮管理目标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启动率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新注册者在48小时内完成同意、一次有效同步及一个任务／首次积分。</w:t>
            </w:r>
          </w:p>
        </w:tc>
        <w:tc>
          <w:tcPr>
            <w:tcW w:type="dxa" w:w="260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≥60%，不是已达成成果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D7留存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有足够观察期的新启动cohort，在第7个日历日再次有有效同步或任务行为。</w:t>
            </w:r>
          </w:p>
        </w:tc>
        <w:tc>
          <w:tcPr>
            <w:tcW w:type="dxa" w:w="26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≥30%；按cohort列人数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D28留存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同一口径第28日；未成熟cohort不进分母。</w:t>
            </w:r>
          </w:p>
        </w:tc>
        <w:tc>
          <w:tcPr>
            <w:tcW w:type="dxa" w:w="260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探索性指标；仅统计观察期完整的样本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有效参与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每名使用者每周有经核实任务的天数。</w:t>
            </w:r>
          </w:p>
        </w:tc>
        <w:tc>
          <w:tcPr>
            <w:tcW w:type="dxa" w:w="26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先观察分布，不只看平均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作弊／误判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疑似不实奖励比例、人工复核结果、申诉被推翻比例。</w:t>
            </w:r>
          </w:p>
        </w:tc>
        <w:tc>
          <w:tcPr>
            <w:tcW w:type="dxa" w:w="260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疑似&gt;5%先停相关规则抽查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商业验证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买家进度、明确报价、付费试点及续约意向。</w:t>
            </w:r>
          </w:p>
        </w:tc>
        <w:tc>
          <w:tcPr>
            <w:tcW w:type="dxa" w:w="260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至少1个真实付费讨论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单位经济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每活跃用户收入、奖励成本、支援成本及直接贡献。</w:t>
            </w:r>
          </w:p>
        </w:tc>
        <w:tc>
          <w:tcPr>
            <w:tcW w:type="dxa" w:w="260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不以代币增发填负毛利</w:t>
            </w:r>
          </w:p>
        </w:tc>
      </w:tr>
    </w:tbl>
    <w:p>
      <w:pPr>
        <w:pStyle w:val="Heading2"/>
      </w:pPr>
      <w:r>
        <w:t>第一方事件名单</w:t>
      </w:r>
    </w:p>
    <w:p>
      <w:r>
        <w:t>onboarding_started、consent_saved、health_sync_succeeded、mission_viewed、mission_claimed、reward_viewed、redemption_completed、account_deleted。事件以最少内部ID与必要状态作产品分析；健康值与可推论的状态不能被复制到广告资料表。</w:t>
      </w:r>
    </w:p>
    <w:p>
      <w:pPr>
        <w:pStyle w:val="Heading2"/>
      </w:pPr>
      <w:r>
        <w:t>健康结果不是金融或医疗承诺</w:t>
      </w:r>
    </w:p>
    <w:p>
      <w:r>
        <w:t>试点可描述使用者在参与前后的平均活动天数与自述体验，但这只显示相关性。季节、装置、原本动机及挑选样本都可能影响结果；不能只靠前后变化宣称App造成疾病改善或降低医疗费。</w:t>
      </w:r>
    </w:p>
    <w:p>
      <w:r>
        <w:t>比较「只有记录」与「任务＋非现金回馈」的两种体验可作产品可用性探索；小样本不可包装成严格健康功效证明。若设计成健康相关人体研究，而非一般产品测试，须另行确认伦理审批与研究同意要求。 [S01、S03]</w:t>
      </w:r>
    </w:p>
    <w:p>
      <w:pPr>
        <w:pStyle w:val="Heading2"/>
      </w:pPr>
      <w:r>
        <w:t>停损规则</w:t>
      </w:r>
    </w:p>
    <w:p>
      <w:r>
        <w:t>两批D7都低于20%，先修首次使用与任务价值，不扩大买流量。完成买家验证仍无付费意愿时，重新缩小客群。成本大于收入时降低奖励预算或更改服务，不用“将来token升值”作盈利证明。</w:t>
      </w:r>
    </w:p>
    <w:p>
      <w:r>
        <w:br w:type="page"/>
      </w:r>
    </w:p>
    <w:p>
      <w:pPr>
        <w:pStyle w:val="Heading1"/>
      </w:pPr>
      <w:r>
        <w:t>09｜开发依赖与验收关卡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989"/>
        <w:gridCol w:w="4309"/>
      </w:tblGrid>
      <w:tr>
        <w:trPr>
          <w:cantSplit/>
          <w:tblHeader/>
        </w:trPr>
        <w:tc>
          <w:tcPr>
            <w:tcW w:type="dxa" w:w="680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验收主题</w:t>
            </w:r>
          </w:p>
        </w:tc>
        <w:tc>
          <w:tcPr>
            <w:tcW w:type="dxa" w:w="4989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重点交付</w:t>
            </w:r>
          </w:p>
        </w:tc>
        <w:tc>
          <w:tcPr>
            <w:tcW w:type="dxa" w:w="4309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验收／风险关卡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范围确认</w:t>
            </w:r>
          </w:p>
        </w:tc>
        <w:tc>
          <w:tcPr>
            <w:tcW w:type="dxa" w:w="498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问题定义、访谈、原型、架构及资料地图。</w:t>
            </w:r>
          </w:p>
        </w:tc>
        <w:tc>
          <w:tcPr>
            <w:tcW w:type="dxa" w:w="430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有可被验证的客群及买家假设。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原生读取</w:t>
            </w:r>
          </w:p>
        </w:tc>
        <w:tc>
          <w:tcPr>
            <w:tcW w:type="dxa" w:w="498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至少2部iPhone读到真实步数；冻结P0。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原生健康读取未过关，不开双平台扩张。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身份与权限</w:t>
            </w:r>
          </w:p>
        </w:tc>
        <w:tc>
          <w:tcPr>
            <w:tcW w:type="dxa" w:w="498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登入、同意、RLS、摘要API及环境。</w:t>
            </w:r>
          </w:p>
        </w:tc>
        <w:tc>
          <w:tcPr>
            <w:tcW w:type="dxa" w:w="430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跨帐户读取测试被拒；密钥不外流。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健康界面</w:t>
            </w:r>
          </w:p>
        </w:tc>
        <w:tc>
          <w:tcPr>
            <w:tcW w:type="dxa" w:w="498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健康首页、来源规则、任务页面。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缺资料、重叠来源、撤权与离线有正确状态。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核心奖励</w:t>
            </w:r>
          </w:p>
        </w:tc>
        <w:tc>
          <w:tcPr>
            <w:tcW w:type="dxa" w:w="498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任务引擎、积分账本、防重领及测试者招募。</w:t>
            </w:r>
          </w:p>
        </w:tc>
        <w:tc>
          <w:tcPr>
            <w:tcW w:type="dxa" w:w="430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100次并行claim只入帐一次；开始早期cohort。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运营与赞助</w:t>
            </w:r>
          </w:p>
        </w:tc>
        <w:tc>
          <w:tcPr>
            <w:tcW w:type="dxa" w:w="498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管理台、徽章、赞助卡片；独立Lab。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健康与广告资料完全分离。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数据权利</w:t>
            </w:r>
          </w:p>
        </w:tc>
        <w:tc>
          <w:tcPr>
            <w:tcW w:type="dxa" w:w="498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删除／导出、撤回同步、指标口径及离线处理。</w:t>
            </w:r>
          </w:p>
        </w:tc>
        <w:tc>
          <w:tcPr>
            <w:tcW w:type="dxa" w:w="430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所有数据权利有端到端测试；健康读取不假报授权状态。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实验室验证</w:t>
            </w:r>
          </w:p>
        </w:tc>
        <w:tc>
          <w:tcPr>
            <w:tcW w:type="dxa" w:w="498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独立Lab、两钱包签署与测试币领取。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仅合成数据；真实链上收据与失败重试可核验。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质量验证</w:t>
            </w:r>
          </w:p>
        </w:tc>
        <w:tc>
          <w:tcPr>
            <w:tcW w:type="dxa" w:w="498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回归测试、还原演练、发布候选及审查材料。</w:t>
            </w:r>
          </w:p>
        </w:tc>
        <w:tc>
          <w:tcPr>
            <w:tcW w:type="dxa" w:w="430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未解决critical／high缺陷为0；无隐藏主网模块。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交付复核</w:t>
            </w:r>
          </w:p>
        </w:tc>
        <w:tc>
          <w:tcPr>
            <w:tcW w:type="dxa" w:w="498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实机App、后台、Lab、文件、真实试点结果。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没有设备、签署或外部批核时，明确标为受阻，不声称完成。</w:t>
            </w:r>
          </w:p>
        </w:tc>
      </w:tr>
    </w:tbl>
    <w:p>
      <w:pPr>
        <w:pStyle w:val="Heading2"/>
      </w:pPr>
      <w:r>
        <w:t>关键路径</w:t>
      </w:r>
    </w:p>
    <w:p>
      <w:r>
        <w:t>真实健康资料 → 正确摘要 → 来源与去重 → 任务引擎 → 可靠账本 → 隐私／安全验收。按依赖和证据推进，不按日历推进；钱包示范不得阻塞正式积分产品。</w:t>
      </w:r>
    </w:p>
    <w:p>
      <w:pPr>
        <w:pStyle w:val="Heading2"/>
      </w:pPr>
      <w:r>
        <w:t>Codex执行与人工复核</w:t>
      </w:r>
    </w:p>
    <w:p>
      <w:r>
        <w:t>Codex依据需求ID、依赖与验收测试逐项实现。B、C分别承担主责与技术复核，不能自审；A提供产品与商业输入，D提供设计和测试支持。每次改动记录代码差异、测试证据、阻塞及下一项可执行任务。</w:t>
      </w:r>
    </w:p>
    <w:p>
      <w:pPr>
        <w:spacing w:before="100"/>
      </w:pPr>
      <w:r>
        <w:rPr>
          <w:color w:val="617184"/>
          <w:sz w:val="18"/>
        </w:rPr>
        <w:t>配套工作簿保留需求、依赖、负责人、状态和验收证据。上架、第三方审核与合作签约是外部依赖，不因代码完成自动视为通过。</w:t>
      </w:r>
    </w:p>
    <w:p>
      <w:r>
        <w:br w:type="page"/>
      </w:r>
    </w:p>
    <w:p>
      <w:pPr>
        <w:pStyle w:val="Heading1"/>
      </w:pPr>
      <w:r>
        <w:t>10｜四人协作、两人负责需求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025"/>
        <w:gridCol w:w="4082"/>
      </w:tblGrid>
      <w:tr>
        <w:trPr>
          <w:cantSplit/>
          <w:tblHeader/>
        </w:trPr>
        <w:tc>
          <w:tcPr>
            <w:tcW w:type="dxa" w:w="1871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人员</w:t>
            </w:r>
          </w:p>
        </w:tc>
        <w:tc>
          <w:tcPr>
            <w:tcW w:type="dxa" w:w="4025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主要责任</w:t>
            </w:r>
          </w:p>
        </w:tc>
        <w:tc>
          <w:tcPr>
            <w:tcW w:type="dxa" w:w="4082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必须交付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A｜产品／商业</w:t>
            </w:r>
          </w:p>
        </w:tc>
        <w:tc>
          <w:tcPr>
            <w:tcW w:type="dxa" w:w="402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访谈、合作、定价、财务、合规协调、商业白皮书及范围批准。</w:t>
            </w:r>
          </w:p>
        </w:tc>
        <w:tc>
          <w:tcPr>
            <w:tcW w:type="dxa" w:w="4082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商业PRD输入、访谈记录、试点方案、财务模型与最终pitch；不列需求主责。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B｜需求负责人1</w:t>
            </w:r>
          </w:p>
        </w:tc>
        <w:tc>
          <w:tcPr>
            <w:tcW w:type="dxa" w:w="402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手机端、健康读取、UI原型、前端、实机交付及钱包连接。</w:t>
            </w:r>
          </w:p>
        </w:tc>
        <w:tc>
          <w:tcPr>
            <w:tcW w:type="dxa" w:w="408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负责28项需求；与C相互复核，承担手机端及端到端验收。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C｜需求负责人2</w:t>
            </w:r>
          </w:p>
        </w:tc>
        <w:tc>
          <w:tcPr>
            <w:tcW w:type="dxa" w:w="402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后端、任务与账本、权限、安全、后台、测试网合约及前置条件跟进。</w:t>
            </w:r>
          </w:p>
        </w:tc>
        <w:tc>
          <w:tcPr>
            <w:tcW w:type="dxa" w:w="4082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负责30项需求；与B相互复核，跟进后端、安全及外部前置条件。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D｜设计／测试支持</w:t>
            </w:r>
          </w:p>
        </w:tc>
        <w:tc>
          <w:tcPr>
            <w:tcW w:type="dxa" w:w="402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用户研究、原型素材、招募、黑箱测试、反馈与展示支持。</w:t>
            </w:r>
          </w:p>
        </w:tc>
        <w:tc>
          <w:tcPr>
            <w:tcW w:type="dxa" w:w="408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测试记录、设计素材、用户反馈及录影；不列需求主责或技术复核人。</w:t>
            </w:r>
          </w:p>
        </w:tc>
      </w:tr>
    </w:tbl>
    <w:p>
      <w:pPr>
        <w:pStyle w:val="Heading2"/>
      </w:pPr>
      <w:r>
        <w:t>两名需求负责人与Codex协作</w:t>
      </w:r>
    </w:p>
    <w:p>
      <w:r>
        <w:t>58项需求统一由B、C负责：B负责28项，C负责30项。两人负责拆解任务、审查Codex生成的代码与测试，并核对需求验收；不将AI完成声明视为人工批准。A、D继续承担商业、设计及测试支持。</w:t>
      </w:r>
    </w:p>
    <w:p>
      <w:r>
        <w:t>不预设固定工时或产能。按真实代码复杂度、设备条件、外部审批及测试结果决定可交付范围。并行开发时分离工作树，指定迁移与共享接口负责人，避免两名执行者同时改同一数据库迁移或安全规则。</w:t>
      </w:r>
    </w:p>
    <w:p>
      <w:pPr>
        <w:pStyle w:val="Heading2"/>
      </w:pPr>
      <w:r>
        <w:t>决策边界：产品批准与技术交付分开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005"/>
        <w:gridCol w:w="4479"/>
      </w:tblGrid>
      <w:tr>
        <w:trPr>
          <w:cantSplit/>
          <w:tblHeader/>
        </w:trPr>
        <w:tc>
          <w:tcPr>
            <w:tcW w:type="dxa" w:w="2494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3005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最后负责／批准</w:t>
            </w:r>
          </w:p>
        </w:tc>
        <w:tc>
          <w:tcPr>
            <w:tcW w:type="dxa" w:w="4479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执行及复核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产品范围／商业承诺</w:t>
            </w:r>
          </w:p>
        </w:tc>
        <w:tc>
          <w:tcPr>
            <w:tcW w:type="dxa" w:w="300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</w:t>
            </w:r>
          </w:p>
        </w:tc>
        <w:tc>
          <w:tcPr>
            <w:tcW w:type="dxa" w:w="447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B、C评估工程；D代表使用体验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健康资料与原生读取</w:t>
            </w:r>
          </w:p>
        </w:tc>
        <w:tc>
          <w:tcPr>
            <w:tcW w:type="dxa" w:w="300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B</w:t>
            </w:r>
          </w:p>
        </w:tc>
        <w:tc>
          <w:tcPr>
            <w:tcW w:type="dxa" w:w="447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C技术复核；D提供实机测试记录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帐本／权限／安全</w:t>
            </w:r>
          </w:p>
        </w:tc>
        <w:tc>
          <w:tcPr>
            <w:tcW w:type="dxa" w:w="300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</w:t>
            </w:r>
          </w:p>
        </w:tc>
        <w:tc>
          <w:tcPr>
            <w:tcW w:type="dxa" w:w="447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B复核；D执行黑箱测试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需求验收／用户测试</w:t>
            </w:r>
          </w:p>
        </w:tc>
        <w:tc>
          <w:tcPr>
            <w:tcW w:type="dxa" w:w="300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B／C按需求分别负责</w:t>
            </w:r>
          </w:p>
        </w:tc>
        <w:tc>
          <w:tcPr>
            <w:tcW w:type="dxa" w:w="447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另一人技术复核；D测试支持；A批准商业范围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是否公开发币</w:t>
            </w:r>
          </w:p>
        </w:tc>
        <w:tc>
          <w:tcPr>
            <w:tcW w:type="dxa" w:w="300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四人共同决策＋外部法律／安全放行</w:t>
            </w:r>
          </w:p>
        </w:tc>
        <w:tc>
          <w:tcPr>
            <w:tcW w:type="dxa" w:w="447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A负责材料；C负责安全；任何未解高风险即不发行</w:t>
            </w:r>
          </w:p>
        </w:tc>
      </w:tr>
    </w:tbl>
    <w:p>
      <w:r>
        <w:t>A保留商业、合规协调及范围批准；D支持用户研究、设计和黑箱测试。T01／T02／T05等需求由C跟进技术前置条件，法律意见仍由外部专业人士出具。B、C互相复核不替代独立主网审计。</w:t>
      </w:r>
    </w:p>
    <w:p>
      <w:r>
        <w:br w:type="page"/>
      </w:r>
    </w:p>
    <w:p>
      <w:pPr>
        <w:pStyle w:val="Heading1"/>
      </w:pPr>
      <w:r>
        <w:t>11｜产品预算与资源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1474"/>
        <w:gridCol w:w="4309"/>
      </w:tblGrid>
      <w:tr>
        <w:trPr>
          <w:cantSplit/>
          <w:tblHeader/>
        </w:trPr>
        <w:tc>
          <w:tcPr>
            <w:tcW w:type="dxa" w:w="4195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现金项目</w:t>
            </w:r>
          </w:p>
        </w:tc>
        <w:tc>
          <w:tcPr>
            <w:tcW w:type="dxa" w:w="1474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HKD</w:t>
            </w:r>
          </w:p>
        </w:tc>
        <w:tc>
          <w:tcPr>
            <w:tcW w:type="dxa" w:w="4309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云端、域名、开发／AI工具</w:t>
            </w:r>
          </w:p>
        </w:tc>
        <w:tc>
          <w:tcPr>
            <w:tcW w:type="dxa" w:w="147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5,000</w:t>
            </w:r>
          </w:p>
        </w:tc>
        <w:tc>
          <w:tcPr>
            <w:tcW w:type="dxa" w:w="430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首版估算；开源与现有帐号优先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开发帐号／测试装置补充</w:t>
            </w:r>
          </w:p>
        </w:tc>
        <w:tc>
          <w:tcPr>
            <w:tcW w:type="dxa" w:w="147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4,000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确认iPhone、Mac／建置与签署条件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设计素材及授权</w:t>
            </w:r>
          </w:p>
        </w:tc>
        <w:tc>
          <w:tcPr>
            <w:tcW w:type="dxa" w:w="147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1,500</w:t>
            </w:r>
          </w:p>
        </w:tc>
        <w:tc>
          <w:tcPr>
            <w:tcW w:type="dxa" w:w="430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不得抄用未授权商标或图片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研究／试点活动营运</w:t>
            </w:r>
          </w:p>
        </w:tc>
        <w:tc>
          <w:tcPr>
            <w:tcW w:type="dxa" w:w="147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3,000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不是以TestFlight安装／测试换取报酬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平台自有奖励预留</w:t>
            </w:r>
          </w:p>
        </w:tc>
        <w:tc>
          <w:tcPr>
            <w:tcW w:type="dxa" w:w="147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3,000</w:t>
            </w:r>
          </w:p>
        </w:tc>
        <w:tc>
          <w:tcPr>
            <w:tcW w:type="dxa" w:w="430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通过平台与条款评估才动用；示范券无价值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初步法律／私隐谘询</w:t>
            </w:r>
          </w:p>
        </w:tc>
        <w:tc>
          <w:tcPr>
            <w:tcW w:type="dxa" w:w="147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12,000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不包括主网完整发行法律意见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外部程式与安全复核</w:t>
            </w:r>
          </w:p>
        </w:tc>
        <w:tc>
          <w:tcPr>
            <w:tcW w:type="dxa" w:w="147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8,000</w:t>
            </w:r>
          </w:p>
        </w:tc>
        <w:tc>
          <w:tcPr>
            <w:tcW w:type="dxa" w:w="430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不等于正式智能合约审计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文件及杂项</w:t>
            </w:r>
          </w:p>
        </w:tc>
        <w:tc>
          <w:tcPr>
            <w:tcW w:type="dxa" w:w="147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1,000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保留报价及支出记录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小计</w:t>
            </w:r>
          </w:p>
        </w:tc>
        <w:tc>
          <w:tcPr>
            <w:tcW w:type="dxa" w:w="147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37,500</w:t>
            </w:r>
          </w:p>
        </w:tc>
        <w:tc>
          <w:tcPr>
            <w:tcW w:type="dxa" w:w="430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以上全部为未询价规划假设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应急预留20%</w:t>
            </w:r>
          </w:p>
        </w:tc>
        <w:tc>
          <w:tcPr>
            <w:tcW w:type="dxa" w:w="147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7,500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不用来扩增非必要功能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现金预算合计</w:t>
            </w:r>
          </w:p>
        </w:tc>
        <w:tc>
          <w:tcPr>
            <w:tcW w:type="dxa" w:w="147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45,000</w:t>
            </w:r>
          </w:p>
        </w:tc>
        <w:tc>
          <w:tcPr>
            <w:tcW w:type="dxa" w:w="430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主网发行、流动性、薪酬另计</w:t>
            </w:r>
          </w:p>
        </w:tc>
      </w:tr>
    </w:tbl>
    <w:p>
      <w:pPr>
        <w:pStyle w:val="Heading2"/>
      </w:pPr>
      <w:r>
        <w:t>劳动投入与开发工具另行记录</w:t>
      </w:r>
    </w:p>
    <w:p>
      <w:r>
        <w:t>现金预算保留HK$45,000作为当前功能范围的未询价成本假设，不是覆盖任意开发周期的承诺。创办人劳动成本按实际投入或另定劳动预算计算；云端、Codex及其他工具按实际用量记录。不再以固定总工时计算总投入。</w:t>
      </w:r>
    </w:p>
    <w:p>
      <w:pPr>
        <w:pStyle w:val="Heading2"/>
      </w:pPr>
      <w:r>
        <w:t>资金及权利</w:t>
      </w:r>
    </w:p>
    <w:p>
      <w:r>
        <w:t>首期由团队按另行书面协议投入、使用合法创业资助或合规种子股权资金，不向使用者预售尚未交付的升值承诺。创办人股权、程式码所有权、离队安排、成本垫支及决策权先写清楚；公司股权与日后团队token配置是两回事。</w:t>
      </w:r>
    </w:p>
    <w:p>
      <w:r>
        <w:t>服务帐户、原始码、域名、资料库及设计资产由团队控制的组织帐户持有；指定至少一名备援管理员。不要把唯一主控权绑在某组员个人电邮、钱包或私人云端帐号。</w:t>
      </w:r>
    </w:p>
    <w:p>
      <w:r>
        <w:br w:type="page"/>
      </w:r>
    </w:p>
    <w:p>
      <w:pPr>
        <w:pStyle w:val="Heading1"/>
      </w:pPr>
      <w:r>
        <w:t>12｜月度收入模型与单位经济</w:t>
      </w:r>
    </w:p>
    <w:p>
      <w:pPr>
        <w:spacing w:before="100"/>
      </w:pPr>
      <w:r>
        <w:rPr>
          <w:color w:val="617184"/>
          <w:sz w:val="18"/>
        </w:rPr>
        <w:t>以下三栏为三个独立情境，全部假设；不是未来三个月预测。工作簿可改MAU、活跃比率、报价及成本，并自动重算。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4535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月度指标／HKD</w:t>
            </w:r>
          </w:p>
        </w:tc>
        <w:tc>
          <w:tcPr>
            <w:tcW w:type="dxa" w:w="1814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保守</w:t>
            </w:r>
          </w:p>
        </w:tc>
        <w:tc>
          <w:tcPr>
            <w:tcW w:type="dxa" w:w="1814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基准</w:t>
            </w:r>
          </w:p>
        </w:tc>
        <w:tc>
          <w:tcPr>
            <w:tcW w:type="dxa" w:w="1814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扩展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MAU</w:t>
            </w:r>
          </w:p>
        </w:tc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1,000</w:t>
            </w:r>
          </w:p>
        </w:tc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5,000</w:t>
            </w:r>
          </w:p>
        </w:tc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15,000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DAU／MAU</w:t>
            </w:r>
          </w:p>
        </w:tc>
        <w:tc>
          <w:tcPr>
            <w:tcW w:type="dxa" w:w="181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20%</w:t>
            </w:r>
          </w:p>
        </w:tc>
        <w:tc>
          <w:tcPr>
            <w:tcW w:type="dxa" w:w="181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25%</w:t>
            </w:r>
          </w:p>
        </w:tc>
        <w:tc>
          <w:tcPr>
            <w:tcW w:type="dxa" w:w="181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30%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广告收入</w:t>
            </w:r>
          </w:p>
        </w:tc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168</w:t>
            </w:r>
          </w:p>
        </w:tc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1,800</w:t>
            </w:r>
          </w:p>
        </w:tc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9,180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赞助收入</w:t>
            </w:r>
          </w:p>
        </w:tc>
        <w:tc>
          <w:tcPr>
            <w:tcW w:type="dxa" w:w="181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3,000</w:t>
            </w:r>
          </w:p>
        </w:tc>
        <w:tc>
          <w:tcPr>
            <w:tcW w:type="dxa" w:w="181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15,000</w:t>
            </w:r>
          </w:p>
        </w:tc>
        <w:tc>
          <w:tcPr>
            <w:tcW w:type="dxa" w:w="181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56,000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企业服务收入</w:t>
            </w:r>
          </w:p>
        </w:tc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6,000</w:t>
            </w:r>
          </w:p>
        </w:tc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30,000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商户净佣金</w:t>
            </w:r>
          </w:p>
        </w:tc>
        <w:tc>
          <w:tcPr>
            <w:tcW w:type="dxa" w:w="181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181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1,000</w:t>
            </w:r>
          </w:p>
        </w:tc>
        <w:tc>
          <w:tcPr>
            <w:tcW w:type="dxa" w:w="181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5,000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总收入</w:t>
            </w:r>
          </w:p>
        </w:tc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3,168</w:t>
            </w:r>
          </w:p>
        </w:tc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23,800</w:t>
            </w:r>
          </w:p>
        </w:tc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100,180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奖励成本</w:t>
            </w:r>
          </w:p>
        </w:tc>
        <w:tc>
          <w:tcPr>
            <w:tcW w:type="dxa" w:w="181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1,500</w:t>
            </w:r>
          </w:p>
        </w:tc>
        <w:tc>
          <w:tcPr>
            <w:tcW w:type="dxa" w:w="181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7,000</w:t>
            </w:r>
          </w:p>
        </w:tc>
        <w:tc>
          <w:tcPr>
            <w:tcW w:type="dxa" w:w="181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28,000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变动服务成本</w:t>
            </w:r>
          </w:p>
        </w:tc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500</w:t>
            </w:r>
          </w:p>
        </w:tc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2,000</w:t>
            </w:r>
          </w:p>
        </w:tc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6,000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固定现金成本</w:t>
            </w:r>
          </w:p>
        </w:tc>
        <w:tc>
          <w:tcPr>
            <w:tcW w:type="dxa" w:w="181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6,000</w:t>
            </w:r>
          </w:p>
        </w:tc>
        <w:tc>
          <w:tcPr>
            <w:tcW w:type="dxa" w:w="181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10,000</w:t>
            </w:r>
          </w:p>
        </w:tc>
        <w:tc>
          <w:tcPr>
            <w:tcW w:type="dxa" w:w="181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20,000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未计创办人薪酬的现金贡献</w:t>
            </w:r>
          </w:p>
        </w:tc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(4,832)</w:t>
            </w:r>
          </w:p>
        </w:tc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4,800</w:t>
            </w:r>
          </w:p>
        </w:tc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46,180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创办人劳动机会成本</w:t>
            </w:r>
          </w:p>
        </w:tc>
        <w:tc>
          <w:tcPr>
            <w:tcW w:type="dxa" w:w="181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36,000</w:t>
            </w:r>
          </w:p>
        </w:tc>
        <w:tc>
          <w:tcPr>
            <w:tcW w:type="dxa" w:w="181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36,000</w:t>
            </w:r>
          </w:p>
        </w:tc>
        <w:tc>
          <w:tcPr>
            <w:tcW w:type="dxa" w:w="181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36,000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扣机会成本后余额</w:t>
            </w:r>
          </w:p>
        </w:tc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(40,832)</w:t>
            </w:r>
          </w:p>
        </w:tc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(31,200)</w:t>
            </w:r>
          </w:p>
        </w:tc>
        <w:tc>
          <w:tcPr>
            <w:tcW w:type="dxa" w:w="181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10,180</w:t>
            </w:r>
          </w:p>
        </w:tc>
      </w:tr>
    </w:tbl>
    <w:p>
      <w:pPr>
        <w:pStyle w:val="Heading2"/>
      </w:pPr>
      <w:r>
        <w:t>广告公式</w:t>
      </w:r>
    </w:p>
    <w:p>
      <w:r>
        <w:t>月广告收入＝DAU × 每日广告机会 × 月天数 × 填充率 ÷ 1,000 × eCPM。基准例：1,250 × 2 × 30 × 80% ÷ 1,000 × HK$30＝HK$1,800。不是一装广告SDK就有可观收入。</w:t>
      </w:r>
    </w:p>
    <w:p>
      <w:r>
        <w:t>基准每MAU月广告收入只有HK$0.36，奖励成本为HK$1.40，尚未计服务及固定成本。故必须证明买家愿意付费，或调整奖励履约成本；不能把mint出来的token当作外部收入。</w:t>
      </w:r>
    </w:p>
    <w:p>
      <w:pPr>
        <w:pStyle w:val="Heading2"/>
      </w:pPr>
      <w:r>
        <w:t>会计与模型限制</w:t>
      </w:r>
    </w:p>
    <w:p>
      <w:r>
        <w:t>「现金贡献」不含创办人薪酬、税项、融资成本、资本性支出与完整营运资金，亦不等于净利润。赞助、企业服务不得重复计同一合约；未用代管奖池不当作赚取的利润。</w:t>
      </w:r>
    </w:p>
    <w:p>
      <w:r>
        <w:br w:type="page"/>
      </w:r>
    </w:p>
    <w:p>
      <w:pPr>
        <w:pStyle w:val="Heading1"/>
      </w:pPr>
      <w:r>
        <w:t>13｜商业化条件与产品扩展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798"/>
        <w:gridCol w:w="4309"/>
      </w:tblGrid>
      <w:tr>
        <w:trPr>
          <w:cantSplit/>
          <w:tblHeader/>
        </w:trPr>
        <w:tc>
          <w:tcPr>
            <w:tcW w:type="dxa" w:w="1871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放行条件</w:t>
            </w:r>
          </w:p>
        </w:tc>
        <w:tc>
          <w:tcPr>
            <w:tcW w:type="dxa" w:w="3798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先要证明什么</w:t>
            </w:r>
          </w:p>
        </w:tc>
        <w:tc>
          <w:tcPr>
            <w:tcW w:type="dxa" w:w="4309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满足条件后可考虑的行动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付费场景成立</w:t>
            </w:r>
          </w:p>
        </w:tc>
        <w:tc>
          <w:tcPr>
            <w:tcW w:type="dxa" w:w="379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用户不是只为领币；至少一个可收费场景。</w:t>
            </w:r>
          </w:p>
        </w:tc>
        <w:tc>
          <w:tcPr>
            <w:tcW w:type="dxa" w:w="430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修留存与支援；完成已签商户核销；逐步加入Android。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服务可重复出售</w:t>
            </w:r>
          </w:p>
        </w:tc>
        <w:tc>
          <w:tcPr>
            <w:tcW w:type="dxa" w:w="379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服务能重复出售，奖励成本有买家支付。</w:t>
            </w:r>
          </w:p>
        </w:tc>
        <w:tc>
          <w:tcPr>
            <w:tcW w:type="dxa" w:w="430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目标≥3付费机构、≥1,000 MAU、D30≥20%；建立续约与单位经济纪录。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代币必要性成立</w:t>
            </w:r>
          </w:p>
        </w:tc>
        <w:tc>
          <w:tcPr>
            <w:tcW w:type="dxa" w:w="379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跨合作伙伴使用token有真实必要，而非宣传需求。</w:t>
            </w:r>
          </w:p>
        </w:tc>
        <w:tc>
          <w:tcPr>
            <w:tcW w:type="dxa" w:w="430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法律与分发渠道评估、经济压测、外部合约审计；全部通过才决定TGE。</w:t>
            </w:r>
          </w:p>
        </w:tc>
      </w:tr>
    </w:tbl>
    <w:p>
      <w:pPr>
        <w:pStyle w:val="Heading2"/>
      </w:pPr>
      <w:r>
        <w:t>这些是放行目标，不是已验证成功标准</w:t>
      </w:r>
    </w:p>
    <w:p>
      <w:r>
        <w:t>三家付费机构及1,000 MAU只能支持下一轮研究，不能单凭这些数字宣布适合发币。还需要可持续收入、愿意接受代币用途的伙伴、没有强制购币的使用体验，以及真实可行的分发渠道。</w:t>
      </w:r>
    </w:p>
    <w:p>
      <w:pPr>
        <w:pStyle w:val="Heading2"/>
      </w:pPr>
      <w:r>
        <w:t>为什么仍可能不需要token</w:t>
      </w:r>
    </w:p>
    <w:p>
      <w:r>
        <w:t>若使用者只在一个App内换福利，资料库积分较容易管理、退款与保护私隐。只有当多个独立伙伴需要跨平台持有、共同核验或可携资产，且增加的风险与成本能被真实价值抵消，才有必要进入主网。</w:t>
      </w:r>
    </w:p>
    <w:p>
      <w:r>
        <w:t>Token不应是对App失败的融资补救，不应强迫商户先投资才合作，也不应将企业服务收入与投资者买币需求混为一谈。可以保留公开、可稽核的奖励预算，而不把每个使用者健康行为上链。</w:t>
      </w:r>
    </w:p>
    <w:p>
      <w:pPr>
        <w:pStyle w:val="Heading2"/>
      </w:pPr>
      <w:r>
        <w:t>不做的功能</w:t>
      </w:r>
    </w:p>
    <w:p>
      <w:r>
        <w:t>不以匿名聊天、跨链桥、自建交易所、token借贷、保本理财、高收益质押、NFT入场门槛或AI医疗诊断作增长捷径。这些不是核心健康任务的必要条件，会增加法律、资料与资产风险。</w:t>
      </w:r>
    </w:p>
    <w:p>
      <w:r>
        <w:br w:type="page"/>
      </w:r>
    </w:p>
    <w:p>
      <w:pPr>
        <w:pStyle w:val="Heading1"/>
      </w:pPr>
      <w:r>
        <w:t>14｜完整发币计划：先过关，再发行</w:t>
      </w:r>
    </w:p>
    <w:p>
      <w:pPr>
        <w:pStyle w:val="Heading2"/>
      </w:pPr>
      <w:r>
        <w:t>发币不是「写完白皮书」就完成</w:t>
      </w:r>
    </w:p>
    <w:p>
      <w:r>
        <w:t>SFC指出，代币是否涉及证券取决于实际权利和安排，例如股权、债权或集体投资性质；「utility token」名称本身不是豁免。2017年ICO声明只提供基本分类原则，发行前仍须依当时法律及SFC虚拟资产框架取得具体法律意见。 [S10–S11]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540"/>
      </w:tblGrid>
      <w:tr>
        <w:trPr>
          <w:cantSplit/>
          <w:tblHeader/>
        </w:trPr>
        <w:tc>
          <w:tcPr>
            <w:tcW w:type="dxa" w:w="2438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工作流</w:t>
            </w:r>
          </w:p>
        </w:tc>
        <w:tc>
          <w:tcPr>
            <w:tcW w:type="dxa" w:w="7540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必须完成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1｜必要性与商业</w:t>
            </w:r>
          </w:p>
        </w:tc>
        <w:tc>
          <w:tcPr>
            <w:tcW w:type="dxa" w:w="754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比较积分／token成本；取得真实伙伴用途及可持续付费证据。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2｜法律／地域／平台</w:t>
            </w:r>
          </w:p>
        </w:tc>
        <w:tc>
          <w:tcPr>
            <w:tcW w:type="dxa" w:w="75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判定发行、空投、公开推广、兑换、托管、转移、交易及金融宣传边界；按目标地域配置限制。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3｜公司及会计</w:t>
            </w:r>
          </w:p>
        </w:tc>
        <w:tc>
          <w:tcPr>
            <w:tcW w:type="dxa" w:w="754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确定发行主体、IP、税务、财务报告、资金用途及投资者文件；另查储值／支付相关问题。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4｜经济与白皮书</w:t>
            </w:r>
          </w:p>
        </w:tc>
        <w:tc>
          <w:tcPr>
            <w:tcW w:type="dxa" w:w="75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总量、分配、解锁、用途、分配上限、风险、治理及改规则程序。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5｜合约与安全</w:t>
            </w:r>
          </w:p>
        </w:tc>
        <w:tc>
          <w:tcPr>
            <w:tcW w:type="dxa" w:w="754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固定供应、分发、vesting、multisig、权限、审计、监测及事故应对。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6｜分配／市场接入</w:t>
            </w:r>
          </w:p>
        </w:tc>
        <w:tc>
          <w:tcPr>
            <w:tcW w:type="dxa" w:w="75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合规地区及合资格参与者；独立平台审批；市场报价资产及透明流动性政策。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7｜持续披露</w:t>
            </w:r>
          </w:p>
        </w:tc>
        <w:tc>
          <w:tcPr>
            <w:tcW w:type="dxa" w:w="754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实际流通、下一轮解锁、支出、奖励、合约事件、利益冲突与安全事故。</w:t>
            </w:r>
          </w:p>
        </w:tc>
      </w:tr>
    </w:tbl>
    <w:p>
      <w:pPr>
        <w:pStyle w:val="Heading2"/>
      </w:pPr>
      <w:r>
        <w:t>放行条件缺一不可</w:t>
      </w:r>
    </w:p>
    <w:p>
      <w:r>
        <w:t>正式平台与地域法律可行；外部法律及安全文件完成；未解critical／high漏洞为0；有经批准并接受压力测试的法币营运准备金；有成本奖励具现金覆盖。对Apple或其他渠道有未解决冲突，就不在该渠道发布任务换币功能。 [S01、S04]</w:t>
      </w:r>
    </w:p>
    <w:p>
      <w:pPr>
        <w:pStyle w:val="Heading2"/>
      </w:pPr>
      <w:r>
        <w:t>MVP已累积积分的处理</w:t>
      </w:r>
    </w:p>
    <w:p>
      <w:r>
        <w:t>首版积分不是欠用户的未发行代币。不得宣称1:1兑换、上市后提款、保底价或预期收益。若未来另设合规社群分配，需独立公布资格、上限、期限与风险，不把看广告所得积分换成加密货币。</w:t>
      </w:r>
    </w:p>
    <w:p>
      <w:r>
        <w:br w:type="page"/>
      </w:r>
    </w:p>
    <w:p>
      <w:pPr>
        <w:pStyle w:val="Heading1"/>
      </w:pPr>
      <w:r>
        <w:t>15｜代币配置、供应与释放条件</w:t>
      </w:r>
    </w:p>
    <w:p>
      <w:r>
        <w:t>工作代号HLT；总供应量示例为10亿枚。此数量只是方便建模，并不形成任何估值。建议合约部署时一次mint至受控的分配／锁定合约，其后不保留任意加印功能；任务奖励从原有池发放，而不是每天新增货币。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324"/>
        <w:gridCol w:w="2438"/>
        <w:gridCol w:w="3061"/>
      </w:tblGrid>
      <w:tr>
        <w:trPr>
          <w:cantSplit/>
          <w:tblHeader/>
        </w:trPr>
        <w:tc>
          <w:tcPr>
            <w:tcW w:type="dxa" w:w="2154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324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比例／数量</w:t>
            </w:r>
          </w:p>
        </w:tc>
        <w:tc>
          <w:tcPr>
            <w:tcW w:type="dxa" w:w="2438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首次事件上限</w:t>
            </w:r>
          </w:p>
        </w:tc>
        <w:tc>
          <w:tcPr>
            <w:tcW w:type="dxa" w:w="3061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其余规则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使用者奖励</w:t>
            </w:r>
          </w:p>
        </w:tc>
        <w:tc>
          <w:tcPr>
            <w:tcW w:type="dxa" w:w="232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40%／4亿</w:t>
            </w:r>
          </w:p>
        </w:tc>
        <w:tc>
          <w:tcPr>
            <w:tcW w:type="dxa" w:w="243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3061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经批准批次、资格及个人上限约束；未用额度保留。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生态／营运国库</w:t>
            </w:r>
          </w:p>
        </w:tc>
        <w:tc>
          <w:tcPr>
            <w:tcW w:type="dxa" w:w="23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15%／1.5亿</w:t>
            </w:r>
          </w:p>
        </w:tc>
        <w:tc>
          <w:tcPr>
            <w:tcW w:type="dxa" w:w="243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总量1%／1,000万</w:t>
            </w:r>
          </w:p>
        </w:tc>
        <w:tc>
          <w:tcPr>
            <w:tcW w:type="dxa" w:w="306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依批准预算、支出证据与公开披露释放。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团队</w:t>
            </w:r>
          </w:p>
        </w:tc>
        <w:tc>
          <w:tcPr>
            <w:tcW w:type="dxa" w:w="232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15%／1.5亿</w:t>
            </w:r>
          </w:p>
        </w:tc>
        <w:tc>
          <w:tcPr>
            <w:tcW w:type="dxa" w:w="243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3061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保留锁定及归属要求；具体参数经法律和安全批准。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策略伙伴</w:t>
            </w:r>
          </w:p>
        </w:tc>
        <w:tc>
          <w:tcPr>
            <w:tcW w:type="dxa" w:w="23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10%／1亿</w:t>
            </w:r>
          </w:p>
        </w:tc>
        <w:tc>
          <w:tcPr>
            <w:tcW w:type="dxa" w:w="243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总量1%／1,000万</w:t>
            </w:r>
          </w:p>
        </w:tc>
        <w:tc>
          <w:tcPr>
            <w:tcW w:type="dxa" w:w="306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须达成合同交付条件并核验合作证据。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早期投资者</w:t>
            </w:r>
          </w:p>
        </w:tc>
        <w:tc>
          <w:tcPr>
            <w:tcW w:type="dxa" w:w="232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10%／1亿</w:t>
            </w:r>
          </w:p>
        </w:tc>
        <w:tc>
          <w:tcPr>
            <w:tcW w:type="dxa" w:w="243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3061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依最终投资文件及锁定安排；不可自行改为公开出售。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流动性库存</w:t>
            </w:r>
          </w:p>
        </w:tc>
        <w:tc>
          <w:tcPr>
            <w:tcW w:type="dxa" w:w="23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5%／5,000万</w:t>
            </w:r>
          </w:p>
        </w:tc>
        <w:tc>
          <w:tcPr>
            <w:tcW w:type="dxa" w:w="243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总量2%／2,000万</w:t>
            </w:r>
          </w:p>
        </w:tc>
        <w:tc>
          <w:tcPr>
            <w:tcW w:type="dxa" w:w="306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须有合法市场接入及另行筹集的报价资产。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社群启动</w:t>
            </w:r>
          </w:p>
        </w:tc>
        <w:tc>
          <w:tcPr>
            <w:tcW w:type="dxa" w:w="232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5%／5,000万</w:t>
            </w:r>
          </w:p>
        </w:tc>
        <w:tc>
          <w:tcPr>
            <w:tcW w:type="dxa" w:w="243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总量1%／1,000万</w:t>
            </w:r>
          </w:p>
        </w:tc>
        <w:tc>
          <w:tcPr>
            <w:tcW w:type="dxa" w:w="3061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另行公布资格与上限；不承诺旧积分转换。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合计</w:t>
            </w:r>
          </w:p>
        </w:tc>
        <w:tc>
          <w:tcPr>
            <w:tcW w:type="dxa" w:w="23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100%／10亿</w:t>
            </w:r>
          </w:p>
        </w:tc>
        <w:tc>
          <w:tcPr>
            <w:tcW w:type="dxa" w:w="243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最多5%／5,000万</w:t>
            </w:r>
          </w:p>
        </w:tc>
        <w:tc>
          <w:tcPr>
            <w:tcW w:type="dxa" w:w="306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无日历释放承诺；全部主网放行条件另行审核。</w:t>
            </w:r>
          </w:p>
        </w:tc>
      </w:tr>
    </w:tbl>
    <w:p>
      <w:pPr>
        <w:pStyle w:val="Heading2"/>
      </w:pPr>
      <w:r>
        <w:t>四个不同概念</w:t>
      </w:r>
    </w:p>
    <w:p>
      <w:r>
        <w:t>Minted supply：已建立的数量。Unlocked amount：合约或规则容许释放的数量。Circulating supply：真正进入市场且符合已披露定义的数量。Market value：由实际市场价格决定，不能由上述比例倒推出保证价值。</w:t>
      </w:r>
    </w:p>
    <w:p>
      <w:r>
        <w:t>首次生成／分配事件最多释放5%不表示实际一定有5%可交易；未投放市场的国库／流动性库存不能任意计成已流通。工作簿只展示配置、事件上限与放行条件，不预测解锁日期、实际抛售或交易量。</w:t>
      </w:r>
    </w:p>
    <w:p>
      <w:pPr>
        <w:pStyle w:val="Heading2"/>
      </w:pPr>
      <w:r>
        <w:t>创办人与伙伴配置的治理</w:t>
      </w:r>
    </w:p>
    <w:p>
      <w:r>
        <w:t>配置给团队的15%不等于四人必须平均分。贡献、离队、归属、锁定及释放机制须另行批准并公开写入法律文件和可验证合约。策略伙伴需有可量化交付。取消本计划的日历假设不代表取消锁定、允许即时全量释放或免除独立审计。</w:t>
      </w:r>
    </w:p>
    <w:p>
      <w:r>
        <w:br w:type="page"/>
      </w:r>
    </w:p>
    <w:p>
      <w:pPr>
        <w:pStyle w:val="Heading1"/>
      </w:pPr>
      <w:r>
        <w:t>16｜奖励、消耗与可持续性</w:t>
      </w:r>
    </w:p>
    <w:p>
      <w:pPr>
        <w:pStyle w:val="Heading2"/>
      </w:pPr>
      <w:r>
        <w:t>发放模型：总预算优先，不设永远固定回报</w:t>
      </w:r>
    </w:p>
    <w:p>
      <w:r>
        <w:t>建议对每个经批准的奖励批次设置池上限，再按合资格使用者与任务权重分配。个人奖励＝min（个人上限，批次可用池 × 个人有效权重 ÷ 全体有效权重）。全体有效权重为0时不分配；未派出部分留在池内，不把旧积分当兑币债务。</w:t>
      </w:r>
    </w:p>
    <w:p>
      <w:r>
        <w:t>示例：奖励池总额4亿枚。单个批准批次预算100万枚，合资格使用者1,000名，每人上限200枚，则该批次最多分配20万枚；未用额度不自动补派。批次预算、资格和个人上限均属待验证参数，不构成固定发行节奏。</w:t>
      </w:r>
    </w:p>
    <w:p>
      <w:pPr>
        <w:pStyle w:val="Heading2"/>
      </w:pPr>
      <w:r>
        <w:t>Mint／burn的实际规则</w:t>
      </w:r>
    </w:p>
    <w:p>
      <w:r>
        <w:t>Mint：只在部署时建立固定总量。Distribution：从既定池转移给合资格领取者。Burn：使用者自愿消耗代币取得真实服务，或依已公开规则销毁；不可让管理者任意没收第三方代币。销毁是减少供应，不等于创造使用需求。OpenZeppelin提供相关ERC20工具，仍须设计权限与独立审计。 [S16]</w:t>
      </w:r>
    </w:p>
    <w:p>
      <w:r>
        <w:t>不预设「每月用广告收入买回保价」。若后续考虑回购，须先由法律与董事治理检视其目的、披露、资金和市场行为，亦不能承诺价格下限或收益。健康服务、客户资金及营运现金不应被拿去无上限护盘。</w:t>
      </w:r>
    </w:p>
    <w:p>
      <w:pPr>
        <w:pStyle w:val="Heading2"/>
      </w:pPr>
      <w:r>
        <w:t>有成本福利与token价格分开</w:t>
      </w:r>
    </w:p>
    <w:p>
      <w:r>
        <w:t>token数量不能拿来保证固定HKD现金价值。若平台承诺商品或服务，需另外有足够法币／履约资源、名额、退款及未用预算安排。把商户费用固定挂某个币价，反而可能制造不可负担的负债及被操控风险。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427"/>
      </w:tblGrid>
      <w:tr>
        <w:trPr>
          <w:cantSplit/>
          <w:tblHeader/>
        </w:trPr>
        <w:tc>
          <w:tcPr>
            <w:tcW w:type="dxa" w:w="2551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压力情境</w:t>
            </w:r>
          </w:p>
        </w:tc>
        <w:tc>
          <w:tcPr>
            <w:tcW w:type="dxa" w:w="7427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必须能怎样存活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新用户增长归零</w:t>
            </w:r>
          </w:p>
        </w:tc>
        <w:tc>
          <w:tcPr>
            <w:tcW w:type="dxa" w:w="7427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收入及服务仍能支付基本营运，不靠新使用者买币。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广告收入下降50%</w:t>
            </w:r>
          </w:p>
        </w:tc>
        <w:tc>
          <w:tcPr>
            <w:tcW w:type="dxa" w:w="7427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减少新增有成本奖励，不动用未授权客户资金。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代币需求下降80%</w:t>
            </w:r>
          </w:p>
        </w:tc>
        <w:tc>
          <w:tcPr>
            <w:tcW w:type="dxa" w:w="7427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不保价、不自动回购；可暂停新分配并保留已披露权利。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作弊／领取激增</w:t>
            </w:r>
          </w:p>
        </w:tc>
        <w:tc>
          <w:tcPr>
            <w:tcW w:type="dxa" w:w="7427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限制奖励上限、延后待核实奖励、及时发布风险说明。</w:t>
            </w:r>
          </w:p>
        </w:tc>
      </w:tr>
    </w:tbl>
    <w:p>
      <w:r>
        <w:br w:type="page"/>
      </w:r>
    </w:p>
    <w:p>
      <w:pPr>
        <w:pStyle w:val="Heading1"/>
      </w:pPr>
      <w:r>
        <w:t>17｜主网技术、资金与市场接入</w:t>
      </w:r>
    </w:p>
    <w:p>
      <w:pPr>
        <w:pStyle w:val="Heading2"/>
      </w:pPr>
      <w:r>
        <w:t>合约最小集合</w:t>
      </w:r>
    </w:p>
    <w:p>
      <w:r>
        <w:t>Token合约：固定总量、清楚转移／burn权限。Distributor：按批准批次及一次性claim分配，但不能把个人健康资料写入证明。Vesting：团队及投资者锁定，具体机制独立批准。Treasury：多签、公开政策及支出记录。每种管理权限均明确授权与撤销方式。</w:t>
      </w:r>
    </w:p>
    <w:p>
      <w:r>
        <w:t>建议资金库采用3-of-4多签并用硬件／独立保管方法；重要非紧急变更设置经安全评估的执行延迟。事故停止权只用于预先定义的功能，例如停止新奖励分配，不得误写成可撤回使用者已持有资产。所有参数须依最终合约测试。</w:t>
      </w:r>
    </w:p>
    <w:p>
      <w:pPr>
        <w:pStyle w:val="Heading2"/>
      </w:pPr>
      <w:r>
        <w:t>钱包流程</w:t>
      </w:r>
    </w:p>
    <w:p>
      <w:r>
        <w:t>连接不等于授权转帐。使用SIWE验证domain、nonce、链ID及有效期，拒绝重播；领取时显示链、资产、费用及交易状态。App不储存或索取使用者私钥、助记词；连接后的地址更改需重新验证，领取资料绑定地址与epoch。 [S17]</w:t>
      </w:r>
    </w:p>
    <w:p>
      <w:pPr>
        <w:pStyle w:val="Heading2"/>
      </w:pPr>
      <w:r>
        <w:t>TGE前清单</w:t>
      </w:r>
    </w:p>
    <w:p>
      <w:r>
        <w:t>确认发行主体及法律意见；冻结白皮书版本；外部审计及修复；合约验证；键控演练；小额端到端测试；发布正式合约地址、风险提示及反诈骗声明；做好对帐、客服、未领奖励、费用及退款处理。</w:t>
      </w:r>
    </w:p>
    <w:p>
      <w:pPr>
        <w:pStyle w:val="Heading2"/>
      </w:pPr>
      <w:r>
        <w:t>市场接入不是承诺「上市」</w:t>
      </w:r>
    </w:p>
    <w:p>
      <w:r>
        <w:t>链上部署、DEX建立交易池、中心化交易平台接纳，以及获准向某司法区推广，是不同事件。交易平台会独立审核，不能在白皮书写成保证。流动性代币库存还需要真实报价资产；10亿枚token不会自动变成可用现金。</w:t>
      </w:r>
    </w:p>
    <w:p>
      <w:r>
        <w:t>禁止刷量、自成交、虚假挂单、夸张收益宣传或承诺护盘。任何市场服务商合约需清楚列出权限、风险、资金与利益冲突；不以「维持币价公式」作投资卖点。</w:t>
      </w:r>
    </w:p>
    <w:p>
      <w:pPr>
        <w:pStyle w:val="Heading2"/>
      </w:pPr>
      <w:r>
        <w:t>发币期额外资金：另立专案预算</w:t>
      </w:r>
    </w:p>
    <w:p>
      <w:r>
        <w:t>纯规划示例：法律HK$150,000、合约与安全审计HK$200,000、主网工程HK$150,000、运营／社群HK$100,000，另20%预留，合计HK$720,000；全部未询价。报价资产流动性、法币运营准备金、税务及牌照相关资金另计，不能从产品的HK$45,000内挤出。</w:t>
      </w:r>
    </w:p>
    <w:p>
      <w:r>
        <w:br w:type="page"/>
      </w:r>
    </w:p>
    <w:p>
      <w:pPr>
        <w:pStyle w:val="Heading1"/>
      </w:pPr>
      <w:r>
        <w:t>18｜风险、停损与创办人治理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850"/>
        <w:gridCol w:w="6180"/>
      </w:tblGrid>
      <w:tr>
        <w:trPr>
          <w:cantSplit/>
          <w:tblHeader/>
        </w:trPr>
        <w:tc>
          <w:tcPr>
            <w:tcW w:type="dxa" w:w="2948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850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</w:t>
            </w:r>
          </w:p>
        </w:tc>
        <w:tc>
          <w:tcPr>
            <w:tcW w:type="dxa" w:w="6180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触发／处理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平台不接受任务换币</w:t>
            </w:r>
          </w:p>
        </w:tc>
        <w:tc>
          <w:tcPr>
            <w:tcW w:type="dxa" w:w="85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</w:t>
            </w:r>
          </w:p>
        </w:tc>
        <w:tc>
          <w:tcPr>
            <w:tcW w:type="dxa" w:w="618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停止该渠道主网方案；维持正式积分产品。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健康资料流入广告SDK</w:t>
            </w:r>
          </w:p>
        </w:tc>
        <w:tc>
          <w:tcPr>
            <w:tcW w:type="dxa" w:w="85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</w:t>
            </w:r>
          </w:p>
        </w:tc>
        <w:tc>
          <w:tcPr>
            <w:tcW w:type="dxa" w:w="61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即停相关SDK、保存事故纪录、评估通知与补救责任。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来源造假／重复奖励</w:t>
            </w:r>
          </w:p>
        </w:tc>
        <w:tc>
          <w:tcPr>
            <w:tcW w:type="dxa" w:w="85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</w:t>
            </w:r>
          </w:p>
        </w:tc>
        <w:tc>
          <w:tcPr>
            <w:tcW w:type="dxa" w:w="618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冻结受影响新发放、人工复核与申诉；不直接抹去帐目。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没有付费买家</w:t>
            </w:r>
          </w:p>
        </w:tc>
        <w:tc>
          <w:tcPr>
            <w:tcW w:type="dxa" w:w="85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</w:t>
            </w:r>
          </w:p>
        </w:tc>
        <w:tc>
          <w:tcPr>
            <w:tcW w:type="dxa" w:w="61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买家验证未成立则调整客群／服务；不得用币融资掩盖需求不足。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无法读取原生资料</w:t>
            </w:r>
          </w:p>
        </w:tc>
        <w:tc>
          <w:tcPr>
            <w:tcW w:type="dxa" w:w="85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B</w:t>
            </w:r>
          </w:p>
        </w:tc>
        <w:tc>
          <w:tcPr>
            <w:tcW w:type="dxa" w:w="618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原生读取未通过则不扩大范围；不把合成资料说成真实同步。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留存差</w:t>
            </w:r>
          </w:p>
        </w:tc>
        <w:tc>
          <w:tcPr>
            <w:tcW w:type="dxa" w:w="85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D</w:t>
            </w:r>
          </w:p>
        </w:tc>
        <w:tc>
          <w:tcPr>
            <w:tcW w:type="dxa" w:w="61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修首次使用与任务价值；不靠提高币奖励掩盖。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资产／合约漏洞</w:t>
            </w:r>
          </w:p>
        </w:tc>
        <w:tc>
          <w:tcPr>
            <w:tcW w:type="dxa" w:w="85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</w:t>
            </w:r>
          </w:p>
        </w:tc>
        <w:tc>
          <w:tcPr>
            <w:tcW w:type="dxa" w:w="618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未解critical／high＝不主网；事故由明确runbook处理。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过量活动或健康误导</w:t>
            </w:r>
          </w:p>
        </w:tc>
        <w:tc>
          <w:tcPr>
            <w:tcW w:type="dxa" w:w="85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</w:t>
            </w:r>
          </w:p>
        </w:tc>
        <w:tc>
          <w:tcPr>
            <w:tcW w:type="dxa" w:w="61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停止相关任务；提供休息／低门槛选项与必要支援。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现金不足／市场下跌</w:t>
            </w:r>
          </w:p>
        </w:tc>
        <w:tc>
          <w:tcPr>
            <w:tcW w:type="dxa" w:w="85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</w:t>
            </w:r>
          </w:p>
        </w:tc>
        <w:tc>
          <w:tcPr>
            <w:tcW w:type="dxa" w:w="618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保基本服务；不杠杆护盘；有成本奖励先看资金覆盖。</w:t>
            </w:r>
          </w:p>
        </w:tc>
      </w:tr>
    </w:tbl>
    <w:p>
      <w:pPr>
        <w:pStyle w:val="Heading2"/>
      </w:pPr>
      <w:r>
        <w:t>四人合作的基本协议</w:t>
      </w:r>
    </w:p>
    <w:p>
      <w:r>
        <w:t>书面约定：公司股权及归属、程序与设计IP、职责及资源承诺、决策程序、成本垫支、收益分配、离队交接与争议处理。金流、资料及正式发币不由一人单独决定；涉及实际用户资产或资料用途变动，必须记录并二次复核。</w:t>
      </w:r>
    </w:p>
    <w:p>
      <w:pPr>
        <w:pStyle w:val="Heading2"/>
      </w:pPr>
      <w:r>
        <w:t>利益冲突与透明度</w:t>
      </w:r>
    </w:p>
    <w:p>
      <w:r>
        <w:t>未来持币的创办人、投资者及伙伴解锁表公开，对外宣传披露相关利益。token治理不能凌驾法律、私隐或安全责任；不能以持币投票迫使用户分享健康资料。</w:t>
      </w:r>
    </w:p>
    <w:p>
      <w:pPr>
        <w:pStyle w:val="Heading2"/>
      </w:pPr>
      <w:r>
        <w:t>三个可以接受的结局</w:t>
      </w:r>
    </w:p>
    <w:p>
      <w:r>
        <w:t>一：做成可收费的积分健康平台，不发币。二：先做企业健康活动服务，缩小消费者App。三：在商业、法律与安全都成立后，另启主网token阶段。唯一不应接受的结局，是App未验证却先靠升值故事收钱。</w:t>
      </w:r>
    </w:p>
    <w:p>
      <w:r>
        <w:br w:type="page"/>
      </w:r>
    </w:p>
    <w:p>
      <w:pPr>
        <w:pStyle w:val="Heading1"/>
      </w:pPr>
      <w:r>
        <w:t>19｜交付验收与Codex开发规则</w:t>
      </w:r>
    </w:p>
    <w:p>
      <w:pPr>
        <w:pStyle w:val="Heading2"/>
      </w:pPr>
      <w:r>
        <w:t>正式产品必须能真实展示</w:t>
      </w:r>
    </w:p>
    <w:p>
      <w:r>
        <w:t>一部真实iPhone读取当日可得步数；完成任务并由伺服器派发一次积分；重复点击不多派；管理台看到对应版本与流水；撤回权限或没有心率资料时显示正确；帐户删除入口可操作。</w:t>
      </w:r>
    </w:p>
    <w:p>
      <w:r>
        <w:t>独立Lab以合成任务连接MetaMask与Trust Wallet，在Base Sepolia完成测试币领取与交易状态展示。记录实际钱包版本及交易hash；测试币无价值、不能兑换主网币，也不对真实健康行为作链上纪录。 [S14–S17]</w:t>
      </w:r>
    </w:p>
    <w:p>
      <w:pPr>
        <w:pStyle w:val="Heading2"/>
      </w:pPr>
      <w:r>
        <w:t>交付包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540"/>
      </w:tblGrid>
      <w:tr>
        <w:trPr>
          <w:cantSplit/>
          <w:tblHeader/>
        </w:trPr>
        <w:tc>
          <w:tcPr>
            <w:tcW w:type="dxa" w:w="2438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</w:t>
            </w:r>
          </w:p>
        </w:tc>
        <w:tc>
          <w:tcPr>
            <w:tcW w:type="dxa" w:w="7540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App与后台</w:t>
            </w:r>
          </w:p>
        </w:tc>
        <w:tc>
          <w:tcPr>
            <w:tcW w:type="dxa" w:w="754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可安装版本、原始码、建置步骤、版本号、测试帐号及环境说明。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PRD及架构</w:t>
            </w:r>
          </w:p>
        </w:tc>
        <w:tc>
          <w:tcPr>
            <w:tcW w:type="dxa" w:w="75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58项需求、权限／资料地图、API契约、任务规则及schema migration。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品质／安全</w:t>
            </w:r>
          </w:p>
        </w:tc>
        <w:tc>
          <w:tcPr>
            <w:tcW w:type="dxa" w:w="754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端到端测试、重复claim测试、跨帐户隔离、封包检查、还原演练。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研究／商业</w:t>
            </w:r>
          </w:p>
        </w:tc>
        <w:tc>
          <w:tcPr>
            <w:tcW w:type="dxa" w:w="75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访谈原始纪录、试点结果、真实买家进度、假设与实际数字对照。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Web3 Lab</w:t>
            </w:r>
          </w:p>
        </w:tc>
        <w:tc>
          <w:tcPr>
            <w:tcW w:type="dxa" w:w="7540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独立测试专案、合成资料、两钱包测试纪录及无价值声明。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下一阶段</w:t>
            </w:r>
          </w:p>
        </w:tc>
        <w:tc>
          <w:tcPr>
            <w:tcW w:type="dxa" w:w="754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单位经济、风险与go/no-go；主网计划保持条件式。</w:t>
            </w:r>
          </w:p>
        </w:tc>
      </w:tr>
    </w:tbl>
    <w:p>
      <w:pPr>
        <w:pStyle w:val="Heading2"/>
      </w:pPr>
      <w:r>
        <w:t>Codex的执行约定</w:t>
      </w:r>
    </w:p>
    <w:p>
      <w:r>
        <w:t>把配套MEGA_PROMPT.md放进项目，并保留精简AGENTS.md及可读需求文件。Codex先读现有代码和依赖，建立验收清单，再实现可测试的完整功能流程；不能只返回计划或静态页面。官方文档说明Codex支持项目级AGENTS.md指导。 [S19–S20]</w:t>
      </w:r>
    </w:p>
    <w:p>
      <w:r>
        <w:t>模拟数据须有持续可见标识，且只能进入独立本地测试环境。真实健康读取、签署安装、钱包兼容和外部审批分别记录“已验证／未验证／受阻”。严禁上传真实健康资料、生产密钥或助记词给coding agent。不能运行的测试不得标为通过。</w:t>
      </w:r>
    </w:p>
    <w:p>
      <w:pPr>
        <w:pStyle w:val="Heading2"/>
      </w:pPr>
      <w:r>
        <w:t>启动开发前需要确认的事项</w:t>
      </w:r>
    </w:p>
    <w:p>
      <w:r>
        <w:t>指定B、C为两名需求负责人；确认代码仓库、测试设备及组织账号；接受正式积分版／独立Lab边界；核准费用及外部操作权限。无需先设完成日期。优先打通真实健康读取与可靠积分账本，不先讨论币价。</w:t>
      </w:r>
    </w:p>
    <w:p>
      <w:r>
        <w:br w:type="page"/>
      </w:r>
    </w:p>
    <w:p>
      <w:pPr>
        <w:pStyle w:val="Heading1"/>
      </w:pPr>
      <w:r>
        <w:t>附录A｜首版需求：帐户、健康与任务</w:t>
      </w:r>
    </w:p>
    <w:p>
      <w:pPr>
        <w:spacing w:before="100"/>
      </w:pPr>
      <w:r>
        <w:rPr>
          <w:color w:val="617184"/>
          <w:sz w:val="18"/>
        </w:rPr>
        <w:t>P0为核心产品需求；主责／技术复核仅B、C两人。以依赖、验收标准和证据管理交付。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515"/>
        <w:gridCol w:w="5669"/>
      </w:tblGrid>
      <w:tr>
        <w:trPr>
          <w:cantSplit/>
          <w:tblHeader/>
        </w:trPr>
        <w:tc>
          <w:tcPr>
            <w:tcW w:type="dxa" w:w="794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3515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需求／责任</w:t>
            </w:r>
          </w:p>
        </w:tc>
        <w:tc>
          <w:tcPr>
            <w:tcW w:type="dxa" w:w="5669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P01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电邮一次性验证登入、登出</w:t>
              <w:br/>
              <w:t>P0 · B主责／C复核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错码/过期码被拒；登出清除本机敏感快取；不强制钱包</w:t>
              <w:br/>
              <w:t>依赖：P36；依据：设计建议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P02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同意页、18岁以上、非医疗声明</w:t>
              <w:br/>
              <w:t>P0 · B主责／C复核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健康读取、云端同步及行销同意分开；保存版本/时间</w:t>
              <w:br/>
              <w:t>依赖：—；依据：S01;S03;S12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P03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HealthKit唯读权限与实机打通</w:t>
              <w:br/>
              <w:t>P0 · B主责／C复核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至少2部iPhone可读当日步数；拒绝/撤回不崩溃</w:t>
              <w:br/>
              <w:t>依赖：P02；依据：S05;S13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P04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步数首页与7天历史</w:t>
              <w:br/>
              <w:t>P0 · B主责／C复核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显示来源、更新时间；无资料不当作0；图表可阅读</w:t>
              <w:br/>
              <w:t>依赖：P03；依据：S05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P05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可得睡眠资料唯读显示</w:t>
              <w:br/>
              <w:t>P0 · B主责／C复核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有来源显示区间；无来源清楚提示；不上传原始资料</w:t>
              <w:br/>
              <w:t>依赖：P03；依据：S05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P06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可得心率资料唯读显示</w:t>
              <w:br/>
              <w:t>P0 · B主责／C复核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显示最近值与量测时间；缺资料不虚构；不作诊断</w:t>
              <w:br/>
              <w:t>依赖：P03；依据：S05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P07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来源白名单、去重与日界线</w:t>
              <w:br/>
              <w:t>P0 · B主责／C复核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手机/手表重叠不相加；区分显示步数与可奖励步数</w:t>
              <w:br/>
              <w:t>依赖：P03；依据：S05;S06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P08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最少化每日摘要同步与重试</w:t>
              <w:br/>
              <w:t>P0 · C主责／B复核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重试不重复；保留server timestamp/时区/来源等必要栏位</w:t>
              <w:br/>
              <w:t>依赖：P07;P36；依据：设计建议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P09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离线、空资料与权限撤回状态</w:t>
              <w:br/>
              <w:t>P0 · B主责／C复核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离线不发奖；恢复后补同步；撤权后停止新资料收集</w:t>
              <w:br/>
              <w:t>依赖：P04;P08；依据：设计建议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P10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任务列表/详情/有效期</w:t>
              <w:br/>
              <w:t>P0 · B主责／C复核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显示门槛、积分、每日上限、截止时间、规则版本</w:t>
              <w:br/>
              <w:t>依赖：P36；依据：设计建议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P11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每日最高步数级别判定</w:t>
              <w:br/>
              <w:t>P0 · C主责／B复核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3000/5000/7000例子只取最高10/20/30分；同日升级只补差额</w:t>
              <w:br/>
              <w:t>依赖：P08;P10；依据：设计建议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P12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每周3天达标任务</w:t>
              <w:br/>
              <w:t>P0 · C主责／B复核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跨周正确；同周最多一次20分；休息不罚款</w:t>
              <w:br/>
              <w:t>依赖：P11；依据：设计建议</w:t>
            </w:r>
          </w:p>
        </w:tc>
      </w:tr>
    </w:tbl>
    <w:p>
      <w:r>
        <w:br w:type="page"/>
      </w:r>
    </w:p>
    <w:p>
      <w:pPr>
        <w:pStyle w:val="Heading1"/>
      </w:pPr>
      <w:r>
        <w:t>附录B｜首版需求：帐本、营运与广告</w:t>
      </w:r>
    </w:p>
    <w:p>
      <w:pPr>
        <w:spacing w:before="100"/>
      </w:pPr>
      <w:r>
        <w:rPr>
          <w:color w:val="617184"/>
          <w:sz w:val="18"/>
        </w:rPr>
        <w:t>P0为核心产品需求；主责／技术复核仅B、C两人。A提供商业输入，D提供测试支持，不列为需求负责人。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515"/>
        <w:gridCol w:w="5669"/>
      </w:tblGrid>
      <w:tr>
        <w:trPr>
          <w:cantSplit/>
          <w:tblHeader/>
        </w:trPr>
        <w:tc>
          <w:tcPr>
            <w:tcW w:type="dxa" w:w="794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3515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需求／责任</w:t>
            </w:r>
          </w:p>
        </w:tc>
        <w:tc>
          <w:tcPr>
            <w:tcW w:type="dxa" w:w="5669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P13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伺服器端不可覆写流水帐</w:t>
              <w:br/>
              <w:t>P0 · C主责／B复核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余额由流水加总；更正用冲销；所有发放可追踪</w:t>
              <w:br/>
              <w:t>依赖：P11；依据：设计建议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P14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防重领、并行及幂等</w:t>
              <w:br/>
              <w:t>P0 · C主责／B复核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相同claim 100次并行只入帐一次；client不能改余额</w:t>
              <w:br/>
              <w:t>依赖：P13；依据：设计建议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P15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积分余额/待核实/流水页</w:t>
              <w:br/>
              <w:t>P0 · B主责／C复核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pending/available/reversed分开；无现金或未来币值</w:t>
              <w:br/>
              <w:t>依赖：P13；依据：设计建议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P16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平台徽章与示范奖励目录</w:t>
              <w:br/>
              <w:t>P0 · B主责／C复核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示范券清楚标为不可使用；不暗示已签商户</w:t>
              <w:br/>
              <w:t>依赖：P15；依据：设计建议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P17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兑换状态及一次性示范码</w:t>
              <w:br/>
              <w:t>P0 · C主责／B复核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扣积分与预留库存同一交易；失败回复；不重复兑换</w:t>
              <w:br/>
              <w:t>依赖：P16；依据：设计建议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P18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手动输入/未知来源不计奖励</w:t>
              <w:br/>
              <w:t>P0 · B主责／C复核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可显示但不派分；来源不明进待核实；有说明/申诉</w:t>
              <w:br/>
              <w:t>依赖：P07；依据：设计建议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P19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异常增量、频率及日上限</w:t>
              <w:br/>
              <w:t>P0 · C主责／B复核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超限/短期异常进人工审核；测试病例结果可重现</w:t>
              <w:br/>
              <w:t>依赖：P11;P14；依据：设计建议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P20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任务配置管理页</w:t>
              <w:br/>
              <w:t>P0 · C主责／B复核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发布前预览；不可追溯修改已完成任务；有版本</w:t>
              <w:br/>
              <w:t>依赖：P10;P13；依据：设计建议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P21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使用者申诉及调整审批</w:t>
              <w:br/>
              <w:t>P0 · C主责／B复核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所有调整附理由；高风险操作需第二人确认</w:t>
              <w:br/>
              <w:t>依赖：P19；依据：设计建议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P22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管理员权限与审计记录</w:t>
              <w:br/>
              <w:t>P0 · C主责／B复核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一般使用者不可看管理页/接口；管理操作完整纪录</w:t>
              <w:br/>
              <w:t>依赖：P20；依据：设计建议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P23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非个人化直接赞助卡片</w:t>
              <w:br/>
              <w:t>P0 · B主责／C复核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全体或按非健康版位轮播；不按步数/睡眠/达标改投放</w:t>
              <w:br/>
              <w:t>依赖：P02；依据：S01;S03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P24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广告事件与健康资料隔离</w:t>
              <w:br/>
              <w:t>P0 · C主责／B复核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封包检查无健康值/健康标签/钱包；点击不触发派分</w:t>
              <w:br/>
              <w:t>依赖：P23；依据：S01;S02;S03</w:t>
            </w:r>
          </w:p>
        </w:tc>
      </w:tr>
    </w:tbl>
    <w:p>
      <w:r>
        <w:br w:type="page"/>
      </w:r>
    </w:p>
    <w:p>
      <w:pPr>
        <w:pStyle w:val="Heading1"/>
      </w:pPr>
      <w:r>
        <w:t>附录C｜首版需求：私隐、品质与基础</w:t>
      </w:r>
    </w:p>
    <w:p>
      <w:pPr>
        <w:spacing w:before="100"/>
      </w:pPr>
      <w:r>
        <w:rPr>
          <w:color w:val="617184"/>
          <w:sz w:val="18"/>
        </w:rPr>
        <w:t>P0为核心产品需求；主责／技术复核仅B、C两人。专业法律意见及独立安全审计仍另行取得。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515"/>
        <w:gridCol w:w="5669"/>
      </w:tblGrid>
      <w:tr>
        <w:trPr>
          <w:cantSplit/>
          <w:tblHeader/>
        </w:trPr>
        <w:tc>
          <w:tcPr>
            <w:tcW w:type="dxa" w:w="794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3515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需求／责任</w:t>
            </w:r>
          </w:p>
        </w:tc>
        <w:tc>
          <w:tcPr>
            <w:tcW w:type="dxa" w:w="5669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P25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帐户删除与资料汇出/更正</w:t>
              <w:br/>
              <w:t>P0 · C主责／B复核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删除入口可用；已删帐户不能重新读资料；依法保留另有依据</w:t>
              <w:br/>
              <w:t>依赖：P08;P13；依据：S12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P26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RLS、密钥及环境隔离</w:t>
              <w:br/>
              <w:t>P0 · C主责／B复核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A用户无法读B资料；service key不在app；demo不接production</w:t>
              <w:br/>
              <w:t>依赖：P36；依据：S18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P27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备份、还原与事故停止发奖</w:t>
              <w:br/>
              <w:t>P0 · C主责／B复核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演练还原成功；可停发新奖但保留历史帐目</w:t>
              <w:br/>
              <w:t>依赖：P13;P26；依据：设计建议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P28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简体中文界面、大字体及可及性</w:t>
              <w:br/>
              <w:t>P0 · B主责／C复核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主要页面大字无裁切；状态不只靠颜色辨认</w:t>
              <w:br/>
              <w:t>依赖：P04;P15；依据：设计建议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P29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提示/通知偏好与安静时段</w:t>
              <w:br/>
              <w:t>P0 · C主责／B复核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拒通知仍能使用；可关提醒；不发催促熬夜/过量运动讯息</w:t>
              <w:br/>
              <w:t>依赖：P10；依据：设计建议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P30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第一方产品事件与指标报表</w:t>
              <w:br/>
              <w:t>P0 · C主责／B复核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定义cohort/activation/D7/D28；无健康值送第三方分析</w:t>
              <w:br/>
              <w:t>依赖：P08;P11；依据：设计建议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P31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端到端及错误情境测试</w:t>
              <w:br/>
              <w:t>P0 · B主责／C复核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验收测试矩阵全过；critical/high未解缺陷为0</w:t>
              <w:br/>
              <w:t>依赖：P14;P17;P24;P25；依据：设计建议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P32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积分版签署/安装与审查材料</w:t>
              <w:br/>
              <w:t>P0 · B主责／C复核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可安装实机；隐私标示符合实际；无隐藏mainnet模组</w:t>
              <w:br/>
              <w:t>依赖：P31；依据：S01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P33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PRD、UI流程与范围冻结</w:t>
              <w:br/>
              <w:t>P0 · B主责／C复核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每项P0有验收人；P1/P2不可挤走主路径</w:t>
              <w:br/>
              <w:t>依赖：—；依据：设计建议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P34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设计元件与互动原型</w:t>
              <w:br/>
              <w:t>P0 · B主责／C复核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首用/健康/任务/积分/设定流程可点击</w:t>
              <w:br/>
              <w:t>依赖：P33；依据：设计建议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P35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同意/保留期/供应商清单</w:t>
              <w:br/>
              <w:t>P0 · C主责／B复核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资料地图、用途、保存/删除、第三方处理者有纪录</w:t>
              <w:br/>
              <w:t>依赖：P02；依据：S03;S12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P36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Repo、CI、资料模型及环境</w:t>
              <w:br/>
              <w:t>P0 · C主责／B复核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可重建安装；lint/typecheck/test入CI；.env.example无密钥</w:t>
              <w:br/>
              <w:t>依赖：P33；依据：设计建议</w:t>
            </w:r>
          </w:p>
        </w:tc>
      </w:tr>
    </w:tbl>
    <w:p>
      <w:r>
        <w:br w:type="page"/>
      </w:r>
    </w:p>
    <w:p>
      <w:pPr>
        <w:pStyle w:val="Heading1"/>
      </w:pPr>
      <w:r>
        <w:t>附录D｜独立Web3 Lab需求</w:t>
      </w:r>
    </w:p>
    <w:p>
      <w:pPr>
        <w:spacing w:before="100"/>
      </w:pPr>
      <w:r>
        <w:rPr>
          <w:color w:val="617184"/>
          <w:sz w:val="18"/>
        </w:rPr>
        <w:t>LAB仅由B、C负责交付与技术复核，不与正式健康资料或账号相连；测试token无价值，不作为上架限制的绕道。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515"/>
        <w:gridCol w:w="5669"/>
      </w:tblGrid>
      <w:tr>
        <w:trPr>
          <w:cantSplit/>
          <w:tblHeader/>
        </w:trPr>
        <w:tc>
          <w:tcPr>
            <w:tcW w:type="dxa" w:w="794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3515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需求／责任</w:t>
            </w:r>
          </w:p>
        </w:tc>
        <w:tc>
          <w:tcPr>
            <w:tcW w:type="dxa" w:w="5669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L01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独立sandbox与合成任务资料</w:t>
              <w:br/>
              <w:t>LAB · B主责／C复核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不同project/package/db；不读HealthKit；无production帐户</w:t>
              <w:br/>
              <w:t>依赖：P36；依据：设计建议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L02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Reown连接MetaMask及Trust Wallet</w:t>
              <w:br/>
              <w:t>LAB · B主责／C复核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两款钱包各完成连接/断线/拒签；版本列于测试报告</w:t>
              <w:br/>
              <w:t>依赖：L01；依据：S14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L03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SIWE nonce/域名/到期验证</w:t>
              <w:br/>
              <w:t>LAB · C主责／B复核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重播、错域名、错chain及过期签署均被拒</w:t>
              <w:br/>
              <w:t>依赖：L02；依据：S17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L04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TEST-HLT固定量测试币</w:t>
              <w:br/>
              <w:t>LAB · C主责／B复核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只部署Base Sepolia；代币及画面标明无价值/无兑换权</w:t>
              <w:br/>
              <w:t>依赖：L01；依据：S15;S16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L05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测试分发器与领取流程</w:t>
              <w:br/>
              <w:t>LAB · C主责／B复核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合成任务生成一次性领取；只支持chain 84532</w:t>
              <w:br/>
              <w:t>依赖：L03;L04；依据：设计建议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L06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交易pending/成功/失败与gas</w:t>
              <w:br/>
              <w:t>LAB · B主责／C复核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交易失败可重试而不重发；显示tx hash及错链提示</w:t>
              <w:br/>
              <w:t>依赖：L05；依据：设计建议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L07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双钱包及分发安全测试</w:t>
              <w:br/>
              <w:t>LAB · C主责／B复核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两钱包各10次测试；重领0；无私钥/助记词收集</w:t>
              <w:br/>
              <w:t>依赖：L06；依据：设计建议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L08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正式版排除检查与说明</w:t>
              <w:br/>
              <w:t>LAB · C主责／B复核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白皮书/演示清楚分开积分与test token；无将来换币承诺</w:t>
              <w:br/>
              <w:t>依赖：L07;P32；依据：设计建议</w:t>
            </w:r>
          </w:p>
        </w:tc>
      </w:tr>
    </w:tbl>
    <w:p>
      <w:pPr>
        <w:pStyle w:val="Heading2"/>
      </w:pPr>
      <w:r>
        <w:t>测试重点</w:t>
      </w:r>
    </w:p>
    <w:p>
      <w:r>
        <w:t>两款钱包的连接、拒签、换链、断线及成功领取都要分别测；只有出现WalletConnect选单不算完成。端到端流程必须保留pending、reverted及already claimed等状态，而不是按一下就假装成功。</w:t>
      </w:r>
    </w:p>
    <w:p>
      <w:r>
        <w:br w:type="page"/>
      </w:r>
    </w:p>
    <w:p>
      <w:pPr>
        <w:pStyle w:val="Heading1"/>
      </w:pPr>
      <w:r>
        <w:t>附录E｜P1后续功能</w:t>
      </w:r>
    </w:p>
    <w:p>
      <w:pPr>
        <w:spacing w:before="100"/>
      </w:pPr>
      <w:r>
        <w:rPr>
          <w:color w:val="617184"/>
          <w:sz w:val="18"/>
        </w:rPr>
        <w:t>P1由B、C两名负责人分配；核心产品验收后，依据实际用户、买家证据及外部批准决定是否启动。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515"/>
        <w:gridCol w:w="5669"/>
      </w:tblGrid>
      <w:tr>
        <w:trPr>
          <w:cantSplit/>
          <w:tblHeader/>
        </w:trPr>
        <w:tc>
          <w:tcPr>
            <w:tcW w:type="dxa" w:w="794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3515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需求／责任</w:t>
            </w:r>
          </w:p>
        </w:tc>
        <w:tc>
          <w:tcPr>
            <w:tcW w:type="dxa" w:w="5669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F01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Android Health Connect正式接入</w:t>
              <w:br/>
              <w:t>P1 · B主责／C复核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依权限/来源/去重规则实机测试；按真实设备验收</w:t>
              <w:br/>
              <w:t>依赖：P07；依据：S03;S06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F02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已签商户优惠与核销后台</w:t>
              <w:br/>
              <w:t>P1 · B主责／C复核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商户合约、名额/退款、券码防重用；资料分享先获放行</w:t>
              <w:br/>
              <w:t>依赖：P17；依据：设计建议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F03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企业健康计划管理</w:t>
              <w:br/>
              <w:t>P1 · B主责／C复核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先只交付行政参与数据；健康报表需另作平台/法律评估</w:t>
              <w:br/>
              <w:t>依赖：P30；依据：设计建议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F04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AdMob非奖励型广告</w:t>
              <w:br/>
              <w:t>P1 · B主责／C复核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审查SDK封包与政策；不按健康资料投放；不以看广告派币</w:t>
              <w:br/>
              <w:t>依赖：P24；依据：S01;S02;S03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F05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装置认证及较强风险引擎</w:t>
              <w:br/>
              <w:t>P1 · C主责／B复核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装置认证只证明请求风险，不宣称能证明真人步行</w:t>
              <w:br/>
              <w:t>依赖：P19；依据：设计建议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F06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订阅及支付</w:t>
              <w:br/>
              <w:t>P1 · B主责／C复核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按地区/商店数码内容付款规则；不得用token绕过IAP</w:t>
              <w:br/>
              <w:t>依赖：P32；依据：S01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F07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社交挑战与公开排行榜</w:t>
              <w:br/>
              <w:t>P1 · B主责／C复核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自愿加入；化名；不得默认公开健康资料；提供检举/封锁</w:t>
              <w:br/>
              <w:t>依赖：P30；依据：设计建议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F08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睡眠习惯辅导</w:t>
              <w:br/>
              <w:t>P1 · B主责／C复核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重规律与休息，不按睡眠越长派越多；非医疗诊断</w:t>
              <w:br/>
              <w:t>依赖：P05；依据：设计建议</w:t>
            </w:r>
          </w:p>
        </w:tc>
      </w:tr>
    </w:tbl>
    <w:p>
      <w:r>
        <w:br w:type="page"/>
      </w:r>
    </w:p>
    <w:p>
      <w:pPr>
        <w:pStyle w:val="Heading1"/>
      </w:pPr>
      <w:r>
        <w:t>附录F｜条件式主网需求</w:t>
      </w:r>
    </w:p>
    <w:p>
      <w:pPr>
        <w:spacing w:before="100"/>
      </w:pPr>
      <w:r>
        <w:rPr>
          <w:color w:val="617184"/>
          <w:sz w:val="18"/>
        </w:rPr>
        <w:t>P2由C跟进、B复核技术条件；法律、经济及市场材料仍需A及外部专家参与。主网不属于本次Codex自动执行范围。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515"/>
        <w:gridCol w:w="5669"/>
      </w:tblGrid>
      <w:tr>
        <w:trPr>
          <w:cantSplit/>
          <w:tblHeader/>
        </w:trPr>
        <w:tc>
          <w:tcPr>
            <w:tcW w:type="dxa" w:w="794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3515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需求／责任</w:t>
            </w:r>
          </w:p>
        </w:tc>
        <w:tc>
          <w:tcPr>
            <w:tcW w:type="dxa" w:w="5669"/>
            <w:vAlign w:val="center"/>
            <w:shd w:fill="157A7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T01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法律分类及地域分发评估</w:t>
              <w:br/>
              <w:t>P2 · C主责／B复核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专业法律意见完成；司法区/发售/牌照边界清晰</w:t>
              <w:br/>
              <w:t>依赖：商业验证；依据：S10;S11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T02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经济模型、压力测试及白皮书</w:t>
              <w:br/>
              <w:t>P2 · C主责／B复核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供应/流通/释放/现金分开；无保价或收益承诺</w:t>
              <w:br/>
              <w:t>依赖：T01；依据：设计建议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T03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合约外部审计、multi-sig及vesting</w:t>
              <w:br/>
              <w:t>P2 · C主责／B复核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未解critical/high=0；权限演练；合约验证；不是AI自审</w:t>
              <w:br/>
              <w:t>依赖：T02；依据：S16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T04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主网claim与金流营运</w:t>
              <w:br/>
              <w:t>P2 · C主责／B复核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主网功能须重新审查；客服、税务、对帐与gas有预算</w:t>
              <w:br/>
              <w:t>依赖：T01;T03；依据：设计建议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T05</w:t>
            </w:r>
          </w:p>
        </w:tc>
        <w:tc>
          <w:tcPr>
            <w:tcW w:type="dxa" w:w="3515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合法市场接入与流动性</w:t>
              <w:br/>
              <w:t>P2 · C主责／B复核</w:t>
            </w:r>
          </w:p>
        </w:tc>
        <w:tc>
          <w:tcPr>
            <w:tcW w:type="dxa" w:w="5669"/>
            <w:vAlign w:val="center"/>
            <w:shd w:fill="F3F7FA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交易平台自主审批；另筹报价资产；无刷量/保价</w:t>
              <w:br/>
              <w:t>依赖：T04；依据：设计建议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T06</w:t>
            </w:r>
          </w:p>
        </w:tc>
        <w:tc>
          <w:tcPr>
            <w:tcW w:type="dxa" w:w="3515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透明度报告及持续监控</w:t>
              <w:br/>
              <w:t>P2 · C主责／B复核</w:t>
            </w:r>
          </w:p>
        </w:tc>
        <w:tc>
          <w:tcPr>
            <w:tcW w:type="dxa" w:w="5669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before="0" w:after="2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月报含流通、解锁、支出、合约事件；风险触发停发</w:t>
              <w:br/>
              <w:t>依赖：T04；依据：设计建议</w:t>
            </w:r>
          </w:p>
        </w:tc>
      </w:tr>
    </w:tbl>
    <w:p>
      <w:pPr>
        <w:pStyle w:val="Heading2"/>
      </w:pPr>
      <w:r>
        <w:t>白皮书必要章节</w:t>
      </w:r>
    </w:p>
    <w:p>
      <w:r>
        <w:t>问题与产品；现有成果与尚未完成项目；发行主体与团队；法律／地域限制；代币权利及不包含的权利；总量、配置、释放条件与实际流通定义；任务及分发；用途与burn；资金用途；治理与管理权限；安全与审计；市场与流动性风险；产品依赖与放行条件；更新记录；利益冲突；无保证回报声明。</w:t>
      </w:r>
    </w:p>
    <w:p>
      <w:r>
        <w:t>不能只放愿景与分配圆饼图。尚未落实的合作、上架、审计与收入，逐项标示待确认。</w:t>
      </w:r>
    </w:p>
    <w:p>
      <w:r>
        <w:br w:type="page"/>
      </w:r>
    </w:p>
    <w:p>
      <w:pPr>
        <w:pStyle w:val="Heading1"/>
      </w:pPr>
      <w:r>
        <w:t>资料来源｜平台、健康资料与市场案例</w:t>
      </w:r>
    </w:p>
    <w:p>
      <w:pPr>
        <w:spacing w:before="100"/>
      </w:pPr>
      <w:r>
        <w:rPr>
          <w:color w:val="617184"/>
          <w:sz w:val="18"/>
        </w:rPr>
        <w:t>以下为官方网站或项目自身文件；查核日2026-09-18。项目白皮书属当事方陈述，不等于独立验证。点击标题可开启原文。</w:t>
      </w:r>
    </w:p>
    <w:p>
      <w:pPr>
        <w:spacing w:after="100"/>
      </w:pPr>
      <w:hyperlink r:id="rId11">
        <w:r>
          <w:rPr>
            <w:color w:val="157A78"/>
            <w:sz w:val="19"/>
          </w:rPr>
          <w:t>S01  Apple App Review Guidelines</w:t>
        </w:r>
      </w:hyperlink>
    </w:p>
    <w:p>
      <w:pPr>
        <w:spacing w:after="160"/>
      </w:pPr>
      <w:r>
        <w:rPr>
          <w:sz w:val="19"/>
        </w:rPr>
        <w:t>3.1.5(v) 任务换币；5.1.2/5.1.3 健康资料；2.2 TestFlight；2.3.1 隐藏功能。</w:t>
      </w:r>
    </w:p>
    <w:p>
      <w:pPr>
        <w:spacing w:after="100"/>
      </w:pPr>
      <w:hyperlink r:id="rId12">
        <w:r>
          <w:rPr>
            <w:color w:val="157A78"/>
            <w:sz w:val="19"/>
          </w:rPr>
          <w:t>S02  Google AdMob：Policies for ad units that offer rewards</w:t>
        </w:r>
      </w:hyperlink>
    </w:p>
    <w:p>
      <w:pPr>
        <w:spacing w:after="160"/>
      </w:pPr>
      <w:r>
        <w:rPr>
          <w:sz w:val="19"/>
        </w:rPr>
        <w:t>奖励广告不得派发现金、加密货币等直接金钱奖励；不可间接兑换绕过。</w:t>
      </w:r>
    </w:p>
    <w:p>
      <w:pPr>
        <w:spacing w:after="100"/>
      </w:pPr>
      <w:hyperlink r:id="rId13">
        <w:r>
          <w:rPr>
            <w:color w:val="157A78"/>
            <w:sz w:val="19"/>
          </w:rPr>
          <w:t>S03  Google Play：Android Health Permissions</w:t>
        </w:r>
      </w:hyperlink>
    </w:p>
    <w:p>
      <w:pPr>
        <w:spacing w:after="160"/>
      </w:pPr>
      <w:r>
        <w:rPr>
          <w:sz w:val="19"/>
        </w:rPr>
        <w:t>资料用途、同意、最少权限；禁止以健康资料投放广告。</w:t>
      </w:r>
    </w:p>
    <w:p>
      <w:pPr>
        <w:spacing w:after="100"/>
      </w:pPr>
      <w:hyperlink r:id="rId14">
        <w:r>
          <w:rPr>
            <w:color w:val="157A78"/>
            <w:sz w:val="19"/>
          </w:rPr>
          <w:t>S04  Google Play：Blockchain-based Content</w:t>
        </w:r>
      </w:hyperlink>
    </w:p>
    <w:p>
      <w:pPr>
        <w:spacing w:after="160"/>
      </w:pPr>
      <w:r>
        <w:rPr>
          <w:sz w:val="19"/>
        </w:rPr>
        <w:t>区块链内容申报及金融政策；实际发行前重查。</w:t>
      </w:r>
    </w:p>
    <w:p>
      <w:pPr>
        <w:spacing w:after="100"/>
      </w:pPr>
      <w:hyperlink r:id="rId15">
        <w:r>
          <w:rPr>
            <w:color w:val="157A78"/>
            <w:sz w:val="19"/>
          </w:rPr>
          <w:t>S05  Apple Support：Manage Health data</w:t>
        </w:r>
      </w:hyperlink>
    </w:p>
    <w:p>
      <w:pPr>
        <w:spacing w:after="160"/>
      </w:pPr>
      <w:r>
        <w:rPr>
          <w:sz w:val="19"/>
        </w:rPr>
        <w:t>手机步数、穿戴装置心率、手动输入及来源优先次序。</w:t>
      </w:r>
    </w:p>
    <w:p>
      <w:pPr>
        <w:spacing w:after="100"/>
      </w:pPr>
      <w:hyperlink r:id="rId16">
        <w:r>
          <w:rPr>
            <w:color w:val="157A78"/>
            <w:sz w:val="19"/>
          </w:rPr>
          <w:t>S06  Android Developers：Read aggregated data</w:t>
        </w:r>
      </w:hyperlink>
    </w:p>
    <w:p>
      <w:pPr>
        <w:spacing w:after="160"/>
      </w:pPr>
      <w:r>
        <w:rPr>
          <w:sz w:val="19"/>
        </w:rPr>
        <w:t>步数聚合、来源与去重设计。</w:t>
      </w:r>
    </w:p>
    <w:p>
      <w:pPr>
        <w:spacing w:after="100"/>
      </w:pPr>
      <w:hyperlink r:id="rId17">
        <w:r>
          <w:rPr>
            <w:color w:val="157A78"/>
            <w:sz w:val="19"/>
          </w:rPr>
          <w:t>S07  AIA Hong Kong：AIA Vitality</w:t>
        </w:r>
      </w:hyperlink>
    </w:p>
    <w:p>
      <w:pPr>
        <w:spacing w:after="160"/>
      </w:pPr>
      <w:r>
        <w:rPr>
          <w:sz w:val="19"/>
        </w:rPr>
        <w:t>本地健康积分及指定保单优惠案例；不代表本项目有合作。</w:t>
      </w:r>
    </w:p>
    <w:p>
      <w:pPr>
        <w:spacing w:after="100"/>
      </w:pPr>
      <w:hyperlink r:id="rId18">
        <w:r>
          <w:rPr>
            <w:color w:val="157A78"/>
            <w:sz w:val="19"/>
          </w:rPr>
          <w:t>S08  STEPN Whitepaper：Overview</w:t>
        </w:r>
      </w:hyperlink>
    </w:p>
    <w:p>
      <w:pPr>
        <w:spacing w:after="160"/>
      </w:pPr>
      <w:r>
        <w:rPr>
          <w:sz w:val="19"/>
        </w:rPr>
        <w:t>Move-to-Earn、GST/GMT；只参考机制，不引用其宣传为成效证据。</w:t>
      </w:r>
    </w:p>
    <w:p>
      <w:pPr>
        <w:spacing w:after="100"/>
      </w:pPr>
      <w:hyperlink r:id="rId19">
        <w:r>
          <w:rPr>
            <w:color w:val="157A78"/>
            <w:sz w:val="19"/>
          </w:rPr>
          <w:t>S09  SWEAT Whitepaper</w:t>
        </w:r>
      </w:hyperlink>
    </w:p>
    <w:p>
      <w:pPr>
        <w:spacing w:after="160"/>
      </w:pPr>
      <w:r>
        <w:rPr>
          <w:sz w:val="19"/>
        </w:rPr>
        <w:t>活动与代币设计的比较资料；官方宣称非独立验证。</w:t>
      </w:r>
    </w:p>
    <w:p>
      <w:r>
        <w:br w:type="page"/>
      </w:r>
    </w:p>
    <w:p>
      <w:pPr>
        <w:pStyle w:val="Heading1"/>
      </w:pPr>
      <w:r>
        <w:t>资料来源｜法规、架构与链上标准</w:t>
      </w:r>
    </w:p>
    <w:p>
      <w:pPr>
        <w:spacing w:before="100"/>
      </w:pPr>
      <w:r>
        <w:rPr>
          <w:color w:val="617184"/>
          <w:sz w:val="18"/>
        </w:rPr>
        <w:t>以下为官方网站或项目自身文件；查核日2026-09-18。项目白皮书属当事方陈述，不等于独立验证。点击标题可开启原文。</w:t>
      </w:r>
    </w:p>
    <w:p>
      <w:pPr>
        <w:spacing w:after="100"/>
      </w:pPr>
      <w:hyperlink r:id="rId20">
        <w:r>
          <w:rPr>
            <w:color w:val="157A78"/>
            <w:sz w:val="19"/>
          </w:rPr>
          <w:t>S10  SFC：Statement on initial coin offerings</w:t>
        </w:r>
      </w:hyperlink>
    </w:p>
    <w:p>
      <w:pPr>
        <w:spacing w:after="160"/>
      </w:pPr>
      <w:r>
        <w:rPr>
          <w:sz w:val="19"/>
        </w:rPr>
        <w:t>2017-09-05 声明：依实质权利判断证券性质；不是2026完整法律意见。</w:t>
      </w:r>
    </w:p>
    <w:p>
      <w:pPr>
        <w:spacing w:after="100"/>
      </w:pPr>
      <w:hyperlink r:id="rId21">
        <w:r>
          <w:rPr>
            <w:color w:val="157A78"/>
            <w:sz w:val="19"/>
          </w:rPr>
          <w:t>S11  SFC：Virtual assets overview</w:t>
        </w:r>
      </w:hyperlink>
    </w:p>
    <w:p>
      <w:pPr>
        <w:spacing w:after="160"/>
      </w:pPr>
      <w:r>
        <w:rPr>
          <w:sz w:val="19"/>
        </w:rPr>
        <w:t>发行前监管查核入口；不等于项目已获批或必须取得某指定牌照。</w:t>
      </w:r>
    </w:p>
    <w:p>
      <w:pPr>
        <w:spacing w:after="100"/>
      </w:pPr>
      <w:hyperlink r:id="rId22">
        <w:r>
          <w:rPr>
            <w:color w:val="157A78"/>
            <w:sz w:val="19"/>
          </w:rPr>
          <w:t>S12  PCPD：The Ordinance at a Glance</w:t>
        </w:r>
      </w:hyperlink>
    </w:p>
    <w:p>
      <w:pPr>
        <w:spacing w:after="160"/>
      </w:pPr>
      <w:r>
        <w:rPr>
          <w:sz w:val="19"/>
        </w:rPr>
        <w:t>香港PDPO：必要性、用途、保存、安全、查阅及更正。</w:t>
      </w:r>
    </w:p>
    <w:p>
      <w:pPr>
        <w:spacing w:after="100"/>
      </w:pPr>
      <w:hyperlink r:id="rId23">
        <w:r>
          <w:rPr>
            <w:color w:val="157A78"/>
            <w:sz w:val="19"/>
          </w:rPr>
          <w:t>S13  Expo：Introduction to development builds</w:t>
        </w:r>
      </w:hyperlink>
    </w:p>
    <w:p>
      <w:pPr>
        <w:spacing w:after="160"/>
      </w:pPr>
      <w:r>
        <w:rPr>
          <w:sz w:val="19"/>
        </w:rPr>
        <w:t>原生健康模组使用development build；不可只靠Expo Go。</w:t>
      </w:r>
    </w:p>
    <w:p>
      <w:pPr>
        <w:spacing w:after="100"/>
      </w:pPr>
      <w:hyperlink r:id="rId24">
        <w:r>
          <w:rPr>
            <w:color w:val="157A78"/>
            <w:sz w:val="19"/>
          </w:rPr>
          <w:t>S14  Reown：AppKit overview</w:t>
        </w:r>
      </w:hyperlink>
    </w:p>
    <w:p>
      <w:pPr>
        <w:spacing w:after="160"/>
      </w:pPr>
      <w:r>
        <w:rPr>
          <w:sz w:val="19"/>
        </w:rPr>
        <w:t>多钱包连接及SIWE支援；各钱包/网络须实机验证。</w:t>
      </w:r>
    </w:p>
    <w:p>
      <w:pPr>
        <w:spacing w:after="100"/>
      </w:pPr>
      <w:hyperlink r:id="rId25">
        <w:r>
          <w:rPr>
            <w:color w:val="157A78"/>
            <w:sz w:val="19"/>
          </w:rPr>
          <w:t>S15  Base：Connect to Base</w:t>
        </w:r>
      </w:hyperlink>
    </w:p>
    <w:p>
      <w:pPr>
        <w:spacing w:after="160"/>
      </w:pPr>
      <w:r>
        <w:rPr>
          <w:sz w:val="19"/>
        </w:rPr>
        <w:t>Base Sepolia测试网；chain ID 84532。</w:t>
      </w:r>
    </w:p>
    <w:p>
      <w:pPr>
        <w:spacing w:after="100"/>
      </w:pPr>
      <w:hyperlink r:id="rId26">
        <w:r>
          <w:rPr>
            <w:color w:val="157A78"/>
            <w:sz w:val="19"/>
          </w:rPr>
          <w:t>S16  OpenZeppelin：ERC20</w:t>
        </w:r>
      </w:hyperlink>
    </w:p>
    <w:p>
      <w:pPr>
        <w:spacing w:after="160"/>
      </w:pPr>
      <w:r>
        <w:rPr>
          <w:sz w:val="19"/>
        </w:rPr>
        <w:t>ERC20、Burnable及Capped工具；使用工具不等于合约已审计。</w:t>
      </w:r>
    </w:p>
    <w:p>
      <w:pPr>
        <w:spacing w:after="100"/>
      </w:pPr>
      <w:hyperlink r:id="rId27">
        <w:r>
          <w:rPr>
            <w:color w:val="157A78"/>
            <w:sz w:val="19"/>
          </w:rPr>
          <w:t>S17  ERC-4361：Sign-In with Ethereum</w:t>
        </w:r>
      </w:hyperlink>
    </w:p>
    <w:p>
      <w:pPr>
        <w:spacing w:after="160"/>
      </w:pPr>
      <w:r>
        <w:rPr>
          <w:sz w:val="19"/>
        </w:rPr>
        <w:t>钱包签署登入、domain、nonce、chain-id等验证。</w:t>
      </w:r>
    </w:p>
    <w:p>
      <w:pPr>
        <w:spacing w:after="100"/>
      </w:pPr>
      <w:hyperlink r:id="rId28">
        <w:r>
          <w:rPr>
            <w:color w:val="157A78"/>
            <w:sz w:val="19"/>
          </w:rPr>
          <w:t>S18  Supabase：Row Level Security</w:t>
        </w:r>
      </w:hyperlink>
    </w:p>
    <w:p>
      <w:pPr>
        <w:spacing w:after="160"/>
      </w:pPr>
      <w:r>
        <w:rPr>
          <w:sz w:val="19"/>
        </w:rPr>
        <w:t>逐行权限与服务端权限隔离。</w:t>
      </w:r>
    </w:p>
    <w:p>
      <w:pPr>
        <w:spacing w:before="100"/>
      </w:pPr>
      <w:r>
        <w:rPr>
          <w:color w:val="617184"/>
          <w:sz w:val="18"/>
        </w:rPr>
        <w:t>法律及平台政策须于公开上架、收取真实资金或发行代币前再次核对。本文件是商业及技术规划，不替代对具体产品、司法区与交易结构的专业法律、会计或医疗意见。</w:t>
      </w:r>
    </w:p>
    <w:p>
      <w:pPr>
        <w:spacing w:after="60"/>
      </w:pPr>
      <w:r>
        <w:rPr>
          <w:b/>
          <w:sz w:val="18"/>
        </w:rPr>
        <w:t xml:space="preserve">S19  OpenAI：项目级AGENTS.md  </w:t>
      </w:r>
      <w:hyperlink r:id="rId29">
        <w:r>
          <w:rPr>
            <w:sz w:val="18"/>
          </w:rPr>
          <w:t>https://developers.openai.com/codex/guides/agents-md/</w:t>
        </w:r>
      </w:hyperlink>
    </w:p>
    <w:p>
      <w:pPr>
        <w:spacing w:after="100"/>
      </w:pPr>
      <w:r>
        <w:rPr>
          <w:sz w:val="18"/>
        </w:rPr>
        <w:t>项目指导文件与作用范围；保持根目录规则精简。</w:t>
      </w:r>
    </w:p>
    <w:p>
      <w:pPr>
        <w:spacing w:after="60"/>
      </w:pPr>
      <w:r>
        <w:rPr>
          <w:b/>
          <w:sz w:val="18"/>
        </w:rPr>
        <w:t xml:space="preserve">S20  OpenAI：Codex prompting  </w:t>
      </w:r>
      <w:hyperlink r:id="rId30">
        <w:r>
          <w:rPr>
            <w:sz w:val="18"/>
          </w:rPr>
          <w:t>https://developers.openai.com/codex/prompting/</w:t>
        </w:r>
      </w:hyperlink>
    </w:p>
    <w:p>
      <w:pPr>
        <w:spacing w:after="100"/>
      </w:pPr>
      <w:r>
        <w:rPr>
          <w:sz w:val="18"/>
        </w:rPr>
        <w:t>以项目上下文、明确任务及验收反馈组织开发。</w:t>
      </w:r>
    </w:p>
    <w:p>
      <w:pPr>
        <w:spacing w:after="60"/>
      </w:pPr>
      <w:r>
        <w:rPr>
          <w:b/>
          <w:sz w:val="18"/>
        </w:rPr>
        <w:t xml:space="preserve">S21  Apple：HealthKit读取授权  </w:t>
      </w:r>
      <w:hyperlink r:id="rId31">
        <w:r>
          <w:rPr>
            <w:sz w:val="18"/>
          </w:rPr>
          <w:t>https://developer.apple.com/documentation/healthkit/authorizing-access-to-health-data</w:t>
        </w:r>
      </w:hyperlink>
    </w:p>
    <w:p>
      <w:pPr>
        <w:spacing w:after="100"/>
      </w:pPr>
      <w:r>
        <w:rPr>
          <w:sz w:val="18"/>
        </w:rPr>
        <w:t>HealthKit不向应用透露读取授权的完整结果；无数据不等于拒绝。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879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84"/>
        <w:sz w:val="16"/>
      </w:rPr>
      <w:t xml:space="preserve">规划版本 2.0｜Codex版  ·  2026-09-18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157A78"/>
        <w:sz w:val="16"/>
      </w:rPr>
      <w:t>HEALTHLOOP  /  BUSINESS PLAN &amp; PRODUCT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 CJK SC" w:hAnsi="Noto Sans CJK SC" w:eastAsia="Noto Sans CJK SC"/>
      <w:color w:val="18344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449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44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44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1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449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1834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apple.com/app-store/review/guidelines/" TargetMode="External"/><Relationship Id="rId12" Type="http://schemas.openxmlformats.org/officeDocument/2006/relationships/hyperlink" Target="https://support.google.com/admob/answer/7313578?hl=en" TargetMode="External"/><Relationship Id="rId13" Type="http://schemas.openxmlformats.org/officeDocument/2006/relationships/hyperlink" Target="https://support.google.com/googleplay/android-developer/answer/12991134?hl=en" TargetMode="External"/><Relationship Id="rId14" Type="http://schemas.openxmlformats.org/officeDocument/2006/relationships/hyperlink" Target="https://support.google.com/googleplay/android-developer/answer/13607354?hl=en" TargetMode="External"/><Relationship Id="rId15" Type="http://schemas.openxmlformats.org/officeDocument/2006/relationships/hyperlink" Target="https://support.apple.com/en-us/108779" TargetMode="External"/><Relationship Id="rId16" Type="http://schemas.openxmlformats.org/officeDocument/2006/relationships/hyperlink" Target="https://developer.android.com/health-and-fitness/health-connect/aggregate-data" TargetMode="External"/><Relationship Id="rId17" Type="http://schemas.openxmlformats.org/officeDocument/2006/relationships/hyperlink" Target="https://www.aia.com.hk/en/health-and-wellness/aia-vitality" TargetMode="External"/><Relationship Id="rId18" Type="http://schemas.openxmlformats.org/officeDocument/2006/relationships/hyperlink" Target="https://whitepaper.stepn.com/overview.md" TargetMode="External"/><Relationship Id="rId19" Type="http://schemas.openxmlformats.org/officeDocument/2006/relationships/hyperlink" Target="https://whitepaper.swe.at/" TargetMode="External"/><Relationship Id="rId20" Type="http://schemas.openxmlformats.org/officeDocument/2006/relationships/hyperlink" Target="https://www.sfc.hk/en/News-and-announcements/Policy-statements-and-announcements/Statement-on-initial-coin-offerings" TargetMode="External"/><Relationship Id="rId21" Type="http://schemas.openxmlformats.org/officeDocument/2006/relationships/hyperlink" Target="https://www.sfc.hk/en/Welcome-to-the-Fintech-Contact-Point/Virtual-assets/Overview" TargetMode="External"/><Relationship Id="rId22" Type="http://schemas.openxmlformats.org/officeDocument/2006/relationships/hyperlink" Target="https://www.pcpd.org.hk/english/data_privacy_law/ordinance_at_a_Glance/ordinance.html" TargetMode="External"/><Relationship Id="rId23" Type="http://schemas.openxmlformats.org/officeDocument/2006/relationships/hyperlink" Target="https://docs.expo.dev/develop/development-builds/introduction/" TargetMode="External"/><Relationship Id="rId24" Type="http://schemas.openxmlformats.org/officeDocument/2006/relationships/hyperlink" Target="https://docs.reown.com/appkit/overview" TargetMode="External"/><Relationship Id="rId25" Type="http://schemas.openxmlformats.org/officeDocument/2006/relationships/hyperlink" Target="https://docs.base.org/get-started/connect-to-base" TargetMode="External"/><Relationship Id="rId26" Type="http://schemas.openxmlformats.org/officeDocument/2006/relationships/hyperlink" Target="https://docs.openzeppelin.com/contracts/5.x/api/token/erc20" TargetMode="External"/><Relationship Id="rId27" Type="http://schemas.openxmlformats.org/officeDocument/2006/relationships/hyperlink" Target="https://eips.ethereum.org/EIPS/eip-4361" TargetMode="External"/><Relationship Id="rId28" Type="http://schemas.openxmlformats.org/officeDocument/2006/relationships/hyperlink" Target="https://supabase.com/docs/guides/database/postgres/row-level-security" TargetMode="External"/><Relationship Id="rId29" Type="http://schemas.openxmlformats.org/officeDocument/2006/relationships/hyperlink" Target="https://developers.openai.com/codex/guides/agents-md/" TargetMode="External"/><Relationship Id="rId30" Type="http://schemas.openxmlformats.org/officeDocument/2006/relationships/hyperlink" Target="https://developers.openai.com/codex/prompting/" TargetMode="External"/><Relationship Id="rId31" Type="http://schemas.openxmlformats.org/officeDocument/2006/relationships/hyperlink" Target="https://developer.apple.com/documentation/healthkit/authorizing-access-to-health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HealthLoop 商业计划与产品规格｜Codex开发版</dc:title>
  <dc:subject>以功能依赖和验收证据管理的健康习惯奖励平台</dc:subject>
  <dc:creator>HealthLoop Project Team</dc:creator>
  <cp:keywords/>
  <dc:description>版本1.1：全简体中文；58项需求统一由B、C主责并相互复核；工时安排为待团队确认的建议。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