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HealthLoop 应用说明与商业提案</w:t>
      </w:r>
    </w:p>
    <w:p>
      <w:r/>
      <w:r>
        <w:rPr>
          <w:b/>
        </w:rPr>
        <w:t>日期：2026年9月28日</w:t>
      </w:r>
      <w:r/>
    </w:p>
    <w:p>
      <w:r/>
      <w:r>
        <w:rPr>
          <w:b/>
        </w:rPr>
        <w:t>文件定位：产品说明、商业验证方案与投入决策依据。</w:t>
      </w:r>
      <w:r>
        <w:t xml:space="preserve"> 本文区分已经验证的操作、已实现但尚待验收的能力，以及未执行的商业假设。现阶段没有可披露的真实客户、合作商户、收入、留存率或市场份额；所有拟价、成本和经营情景均须以真实反馈和报价验证。</w:t>
      </w:r>
    </w:p>
    <w:p>
      <w:pPr>
        <w:pStyle w:val="Heading1"/>
      </w:pPr>
      <w:r>
        <w:t>1 提案摘要</w:t>
      </w:r>
    </w:p>
    <w:p>
      <w:r>
        <w:t>HealthLoop“健康循环”是一款面向香港成年用户的日常健康习惯应用，优先支持iPhone，界面采用简体中文，任务日期按香港时区计算。它希望帮助用户理解日常活动、小目标与反馈之间的关系，同时保留休息、拒绝可选授权和退出服务的权利。</w:t>
      </w:r>
    </w:p>
    <w:p>
      <w:r>
        <w:t>核心价值是让用户更容易持续照顾日常习惯，并看懂每笔积分为何产生。积分不可转让、没有现金价值，也不承诺兑换未来代币。应用不提供医疗诊断，不要求购买NFT、连接钱包或观看广告，不以增加运动量作为无限奖励目标。</w:t>
      </w:r>
    </w:p>
    <w:p>
      <w:r>
        <w:t>建议先验证两个问题：用户是否愿意在没有现金补贴的情况下持续使用；机构是否愿意为内容、使用支持和活动运营付费。非个人化直接赞助可作为第二条收入假设。真实商户权益、企业自助后台和订阅支付均需另行批准，不能当作现有功能出售。</w:t>
      </w:r>
    </w:p>
    <w:p>
      <w:r>
        <w:t>目前已有原生模拟器、本地真实认证与服务器支持的操作证据，但尚未完成两部真实iPhone的HealthKit验收、设备签署交付及全部上线条件。本提案建议按证据和依赖推进，不以固定开发日期代替验收。</w:t>
      </w:r>
    </w:p>
    <w:p>
      <w:pPr>
        <w:pStyle w:val="Heading1"/>
      </w:pPr>
      <w:r>
        <w:t>2 目标用户与需要解决的问题</w:t>
      </w:r>
    </w:p>
    <w:p>
      <w:r>
        <w:t>香港卫生署《2023年度健康行为调查》显示，18岁及以上人口中，</w:t>
      </w:r>
      <w:r>
        <w:rPr>
          <w:b/>
        </w:rPr>
        <w:t>14.8%活动量不足，33.9%在典型一天中坐着或斜躺至少8小时</w:t>
      </w:r>
      <w:r>
        <w:t>，后者不包括睡眠。这提供了值得研究的生活场景，但不能证明应用有效，也不能直接当作付费市场规模。数据属于2023年调查，不是2026年的新调查。</w:t>
      </w:r>
      <w:hyperlink r:id="rId10">
        <w:r>
          <w:rPr>
            <w:color w:val="075D75"/>
          </w:rPr>
          <w:t>卫生署原报告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872"/>
        <w:gridCol w:w="3816"/>
        <w:gridCol w:w="4248"/>
      </w:tblGrid>
      <w:tr>
        <w:trPr>
          <w:cantSplit/>
          <w:tblHeader/>
        </w:trPr>
        <w:tc>
          <w:tcPr>
            <w:tcW w:type="dxa" w:w="1872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候选用户或买方</w:t>
            </w:r>
          </w:p>
        </w:tc>
        <w:tc>
          <w:tcPr>
            <w:tcW w:type="dxa" w:w="3816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希望完成的事</w:t>
            </w:r>
          </w:p>
        </w:tc>
        <w:tc>
          <w:tcPr>
            <w:tcW w:type="dxa" w:w="4248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需要验证的价值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工作日节奏紧凑、已有iPhone的成年用户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少做额外打卡，看懂今天的任务和反馈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小目标与清楚说明能否促成持续回来使用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已有活动记录、希望保持规律的成年用户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回顾日常、允许休息、理解积分差异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相比既有健康工具，是否获得足够额外价值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社区组织或企业行政负责人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组织自愿参与的习惯活动，降低执行负担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是否愿为内容、讲解、支持和行政汇总付费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候选直接赞助商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在合适的生活内容版位展示品牌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是否接受没有健康画像和个人行为定向的合作</w:t>
            </w:r>
          </w:p>
        </w:tc>
      </w:tr>
    </w:tbl>
    <w:p>
      <w:pPr>
        <w:spacing w:after="40"/>
      </w:pPr>
    </w:p>
    <w:p>
      <w:r>
        <w:t>初期招募应以成年、设备兼容、自愿参与、理解现有语言界面为条件。可以分别访谈25至44岁及45至64岁人群，但年龄只是研究分层假设，不代表已经确定的市场画像。不能根据步数、睡眠、心率或疾病推断寻找广告对象。</w:t>
      </w:r>
    </w:p>
    <w:p>
      <w:r>
        <w:t>现有简体中文界面对香港不同用户的适配程度仍待验证，不能声称已支持繁体中文。未成年人、需要医疗或康复指导的人，以及希望通过运动取得投资收益的人，不是本版本的目标。首轮100名激活参与者可作为验证样本目标，不能写成现有用户或市场份额。</w:t>
      </w:r>
    </w:p>
    <w:p>
      <w:pPr>
        <w:pStyle w:val="Heading1"/>
      </w:pPr>
      <w:r>
        <w:t>3 应用怎样使用</w:t>
      </w:r>
    </w:p>
    <w:p>
      <w:r/>
      <w:r>
        <w:rPr>
          <w:b/>
        </w:rPr>
        <w:t>登录与选择。</w:t>
      </w:r>
      <w:r>
        <w:t xml:space="preserve"> 用户以邮箱一次性验证码登录，确认成年，并分别决定是否允许本机健康读取、最少化云端同步及营销。健康和营销选择不是捆绑条件；拒绝可选同意仍能进入基础界面。提醒另有独立设置，默认关闭。</w:t>
      </w:r>
    </w:p>
    <w:p>
      <w:r/>
      <w:r>
        <w:rPr>
          <w:b/>
        </w:rPr>
        <w:t>首页与记录。</w:t>
      </w:r>
      <w:r>
        <w:t xml:space="preserve"> 首页提供当日活动、来源、更新时间及最近7天记录。没有可读取数据时显示横线和说明，不把缺失数据变成零，也不据此判断用户拒绝授权。睡眠与最近心率属于可选的历史记录显示，不是诊断，不作为奖励目标。</w:t>
      </w:r>
    </w:p>
    <w:p>
      <w:r/>
      <w:r>
        <w:rPr>
          <w:b/>
        </w:rPr>
        <w:t>任务与核实。</w:t>
      </w:r>
      <w:r>
        <w:t xml:space="preserve"> 用户查看每日、每周规则及截止时间。在真实数据可用且同意有效时，主动提交最低必要日摘要。当前日规则示例为3000、5000、7000步对应10、20、30积分，同一天只取最高档，后来升级只补差额；周规则是3个不同日期达到固定目标后获得一次20积分。这些是产品规则，不是医疗运动建议，休息不会扣分。</w:t>
      </w:r>
    </w:p>
    <w:p>
      <w:r/>
      <w:r>
        <w:rPr>
          <w:b/>
        </w:rPr>
        <w:t>积分与示范奖励。</w:t>
      </w:r>
      <w:r>
        <w:t xml:space="preserve"> 服务器核实后才发放积分，用户可以查看流水、待核实状态、退款和更正。当前目录中的徽章和演示码明确标为不可真实消费或核销，不代表已签约商户。余额不足、没有库存或状态未确认时，兑换按钮保持不可用；重试应核实原请求，不重复扣分。</w:t>
      </w:r>
    </w:p>
    <w:p>
      <w:r/>
      <w:r>
        <w:rPr>
          <w:b/>
        </w:rPr>
        <w:t>隐私与退出。</w:t>
      </w:r>
      <w:r>
        <w:t xml:space="preserve"> “我的”页面集中管理同意、提醒、导出、更正及删除入口。关闭相关权限立即限制后续读取或同步；重新开启需要保存并取得服务器确认。用户可以退出，删除则需要重新验证身份并执行后台清除流程。真实设备上的撤回、离线和恢复体验仍须继续验收。</w:t>
      </w:r>
    </w:p>
    <w:p>
      <w:r>
        <w:t>这一旅程应先证明“看得懂、用得稳、退出清楚”，再扩大激励。不能用没有数据的演示账号伪造积分，也不能为了拍摄完整兑换流程而向HealthKit写入假记录。</w:t>
      </w:r>
    </w:p>
    <w:p>
      <w:pPr>
        <w:pStyle w:val="Heading1"/>
      </w:pPr>
      <w:r>
        <w:t>4 当前证据与尚未完成的部分</w:t>
      </w:r>
    </w:p>
    <w:p>
      <w:r>
        <w:t>2026年9月28日，项目完成了一次约6分36秒的原生模拟器操作录像。应用连接本机真实Auth、邮件接收器、Edge服务和PostgreSQL，使用一次性本地测试邮箱；不是浏览器预览，也没有登录绕过。测试没有真实用户或健康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872"/>
        <w:gridCol w:w="3816"/>
        <w:gridCol w:w="4248"/>
      </w:tblGrid>
      <w:tr>
        <w:trPr>
          <w:cantSplit/>
          <w:tblHeader/>
        </w:trPr>
        <w:tc>
          <w:tcPr>
            <w:tcW w:type="dxa" w:w="1872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3816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已观察或已有证据</w:t>
            </w:r>
          </w:p>
        </w:tc>
        <w:tc>
          <w:tcPr>
            <w:tcW w:type="dxa" w:w="4248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仍然不能声称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登录与选择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实际OTP登录；只确认成年并关闭三项可选同意后进入应用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外部邮件交付、所有验证码错误状态、长期会话均已完成验收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页面与账户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四个页面、提醒默认关闭及保存、导出打开系统分享面板后取消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通知真实交付、所有可及性场景或删除按钮全流程已通过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会话生命周期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登录后冷启动保留会话；退出后冷启动仍为退出状态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两部真实iPhone或长期离线恢复已经验收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健康与积分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空数据状态、零积分、空账本及不可用的演示兑换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真正读取健康数据、发奖或完成商户兑换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服务端规则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本地自动化覆盖幂等、并发、账本、权限、更正、兑换及删除等已实现路径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模拟输入测试等同真实健康闭环或独立审计</w:t>
            </w:r>
          </w:p>
        </w:tc>
      </w:tr>
    </w:tbl>
    <w:p>
      <w:pPr>
        <w:spacing w:after="40"/>
      </w:pPr>
    </w:p>
    <w:p>
      <w:r>
        <w:t>任务页在此次录像中实际出现服务器创建的实例、规则版本和截止时间；没有健康上传不等于没有任务实例。反过来，任务实例存在也不代表完成任务或获得积分。录像中的验证码区域已遮盖，公开材料不应使用原始录像。</w:t>
      </w:r>
    </w:p>
    <w:p>
      <w:r>
        <w:t>当前主要缺口包括：两部真实iPhone的来源比对与唯读HealthKit路径、签署安装、大字体和VoiceOver、真实通知交付、剩余账户错误场景、后台管理界面、备份恢复和删除重放，以及B/C交叉复核和法律、供应商、商店材料。赞助系统与第一方运营指标尚未实施，不能将计划中的收入能力描述为已上线。</w:t>
      </w:r>
    </w:p>
    <w:p>
      <w:pPr>
        <w:pStyle w:val="Heading1"/>
      </w:pPr>
      <w:r>
        <w:t>5 运作方式与信任基础</w:t>
      </w:r>
    </w:p>
    <w:p>
      <w:r>
        <w:t>应用采用React Native与Expo原生构建，通过本地Swift模块只读HealthKit。来源处理区分显示步数和可奖励步数，手机与手表的重叠数据不简单相加；手动输入、未知来源和冲突记录不能自动计奖。原始睡眠与心率留在本机，云端仅在同意有效时接收任务需要的摘要。</w:t>
      </w:r>
    </w:p>
    <w:p>
      <w:r>
        <w:t>服务器负责资格、积分和库存。数据库事务、业务唯一约束与请求幂等降低重复发奖和重复扣分风险；已记账流水不能覆盖，更正通过关联的补偿记录完成。行级权限限制跨账户访问，删除工作器负责后续清除，异常情况保留可重试状态。</w:t>
      </w:r>
    </w:p>
    <w:p>
      <w:r>
        <w:t>这些控制的商业意义是减少争议、解释成本和数据暴露，不是证明作弊不可能。来源信息不能保证每一步都由本人真实行走；必须预留人工复核、申诉、客服和停止新发奖的能力。</w:t>
      </w:r>
    </w:p>
    <w:p>
      <w:r>
        <w:t>健康资料、健康衍生画像和钱包信息不会进入赞助事件。Apple对HealthKit等数据用于广告、营销及相关数据挖掘有明确限制，因此商业设计不能依赖出售健康人群。这一设计方向并不代表已获App Store批准。</w:t>
      </w:r>
      <w:hyperlink r:id="rId11">
        <w:r>
          <w:rPr>
            <w:color w:val="075D75"/>
          </w:rPr>
          <w:t>Apple审查规则</w:t>
        </w:r>
      </w:hyperlink>
      <w:r/>
    </w:p>
    <w:p>
      <w:pPr>
        <w:pStyle w:val="Heading1"/>
      </w:pPr>
      <w:r>
        <w:t>6 替代方案与定位选择</w:t>
      </w:r>
    </w:p>
    <w:p>
      <w:r>
        <w:t>Apple“健康”已经能够汇集兼容设备和应用的数据，并自动记录步数及距离。因此，多一个步数页面本身不足以说服用户持续使用。</w:t>
      </w:r>
      <w:hyperlink r:id="rId12">
        <w:r>
          <w:rPr>
            <w:color w:val="075D75"/>
          </w:rPr>
          <w:t>Apple使用说明</w:t>
        </w:r>
      </w:hyperlink>
      <w:r/>
    </w:p>
    <w:p>
      <w:r>
        <w:t>Sweatcoin的官方条款描述了验证运动、应用内单位与第三方优惠码市场；这表明活动激励已有成熟竞争方向，但不能据此声称HealthLoop拥有相同商户资源。</w:t>
      </w:r>
      <w:hyperlink r:id="rId13">
        <w:r>
          <w:rPr>
            <w:color w:val="075D75"/>
          </w:rPr>
          <w:t>Sweatcoin条款</w:t>
        </w:r>
      </w:hyperlink>
      <w:r/>
    </w:p>
    <w:p>
      <w:r>
        <w:t>STEPN的官方Energy机制将代币奖励与Energy及NFT Sneaker条件联系起来，面向不同动机和使用门槛。HealthLoop核心不会采用代币价格、投资回报或NFT购买来解释价值。</w:t>
      </w:r>
      <w:hyperlink r:id="rId14">
        <w:r>
          <w:rPr>
            <w:color w:val="075D75"/>
          </w:rPr>
          <w:t>STEPN白皮书</w:t>
        </w:r>
      </w:hyperlink>
      <w:r/>
    </w:p>
    <w:p>
      <w:r>
        <w:t>HealthLoop拟验证的差异是香港任务日界线、容易理解的任务反馈、可追溯积分、分开的同意与休息不罚。这些只是产品选择，尚非已证实的竞争优势。持续价值应来自可靠体验、内容和服务，而不是夸大技术壁垒或借用竞品的增长、疗效数字。</w:t>
      </w:r>
    </w:p>
    <w:p>
      <w:pPr>
        <w:pStyle w:val="Heading1"/>
      </w:pPr>
      <w:r>
        <w:t>7 收入与运营方案</w:t>
      </w:r>
    </w:p>
    <w:p>
      <w:r/>
      <w:r>
        <w:rPr>
          <w:b/>
        </w:rPr>
        <w:t>优先假设是机构运营服务。</w:t>
      </w:r>
      <w:r>
        <w:t xml:space="preserve"> 一家组织可以购买固定服务包，内容包括通用习惯主题讲解、使用引导、内容材料、参与者支持和行政汇总。买方购买的是交付能力，不是员工健康明细。报名、出席和支持解决数量也应最少化收集，不默认连接核心健康身份；小群体报告须避免可识别分组，不能仅靠“匿名”标签承诺安全。</w:t>
      </w:r>
    </w:p>
    <w:p>
      <w:r/>
      <w:r>
        <w:rPr>
          <w:b/>
        </w:rPr>
        <w:t>第二假设是非个人化直接赞助。</w:t>
      </w:r>
      <w:r>
        <w:t xml:space="preserve"> 赞助内容应明确标识，在固定版位面向所有用户一致展示，或仅按非健康版位轮播。曝光和点击不奖励积分；报告不含健康值、达标状态、个人健康分组或钱包标识。完成P23/P24实现、数据隔离检查与审批前，不承诺可交付投放。</w:t>
      </w:r>
    </w:p>
    <w:p>
      <w:r>
        <w:t>机构管理属于F03；真实商户核销F02、支付订阅F06、外部广告网络F04均为另行审批的P1。当前可以提出需求与预算访谈，不能自动开展外联、签约、收费或远端配置。演示券不是商户权益，积分发放也不是现金收入；未来权益的采购、退款、未履约责任及会计处理需要另作专业评估。</w:t>
      </w:r>
    </w:p>
    <w:p>
      <w:r>
        <w:t>运营上，内容需要审校、支持请求需要分类和解决、积分争议需要有权限的审核人员，供应商和数据保留需要明确责任。若客户只愿为员工个人健康表现或排名付费，应停止该合作方向。独立Web3 Lab不进入核心收入模型，也不能把真实健康行为与积分导向代币收益。</w:t>
      </w:r>
    </w:p>
    <w:p>
      <w:pPr>
        <w:pStyle w:val="Heading1"/>
      </w:pPr>
      <w:r>
        <w:t>8 获客与验证方法</w:t>
      </w:r>
    </w:p>
    <w:p>
      <w:r>
        <w:t>先通过自愿访谈了解用户现有工具、生活场景、语言和隐私顾虑，不收集原始医疗或健康记录。随后，在获得授权的社区或机构场景中提供同一套公开说明与独立选择，不要求参与者授予健康权限，也不以广告、拉人头或钱包奖励换取安装。</w:t>
      </w:r>
    </w:p>
    <w:p>
      <w:r>
        <w:t>可以比较“小目标与休息”和“清楚的任务记录”两种表达，观察理解度和成熟留存。试验使用批准的第一方事件，例如登录、选择保存、页面查看和通用错误；不向营销平台传送步数、心率、睡眠、达标或健康分组。P30指标基础尚未完成，不能补造既往行为数据。</w:t>
      </w:r>
    </w:p>
    <w:p>
      <w:r>
        <w:t>建议至少访谈5位有预算职责的候选买方，验证交付清单、价格和采购流程。口头兴趣不记为收入；授权后实际签约并付费，才算付费验证。免费用户需要单独计算成本，不能把注册增长等同商业成功。</w:t>
      </w:r>
    </w:p>
    <w:p>
      <w:r/>
      <w:r>
        <w:rPr>
          <w:b/>
        </w:rPr>
        <w:t>指标口径建议。</w:t>
      </w:r>
      <w:r>
        <w:t xml:space="preserve"> 激活定义为注册后7天内完成登录、成年确认及选择保存，并查看首页或任务页；可选健康、营销和通知同意不是激活条件。以激活日为D0，D7观察D6至8，D28观察D26至30是否有自愿核心页面查看；分母只包括完整走过观察窗口的用户。</w:t>
      </w:r>
    </w:p>
    <w:p>
      <w:r>
        <w:t>在至少100个成熟激活样本、两个独立渠道后，可暂以D7不少于35%、D28不少于20%作为继续验证的门槛，同时报告样本量、置信区间与流失原因。这是拟定的决策标准，不是现有表现或行业基准。未达到时先调整人群和体验，不靠扩大投放掩盖问题。</w:t>
      </w:r>
    </w:p>
    <w:p>
      <w:pPr>
        <w:pStyle w:val="Heading1"/>
      </w:pPr>
      <w:r>
        <w:t>9 港元单位经济与压力情景</w:t>
      </w:r>
    </w:p>
    <w:p>
      <w:r/>
      <w:r>
        <w:rPr>
          <w:b/>
        </w:rPr>
        <w:t>本节全部为未验证假设。</w:t>
      </w:r>
      <w:r>
        <w:t xml:space="preserve"> 所有金额均为港元/月，需用报价、工时、回款与试点数据替换。角色费用是内部资源分摊，不能当作市场招聘薪酬或足额全职预算。税项、融资成本、真实权益采购和大规模扩容未计入，以下结果不是净利润或投资回报承诺。</w:t>
      </w:r>
    </w:p>
    <w:p>
      <w:r>
        <w:t>固定费用假设90,000：B/C技术分摊合计50,000，A/D运营、内容及QA合计20,000，持续隐私、安全和法律支持7,000，基础云服务与管理工具8,000，预备金5,000。</w:t>
      </w:r>
    </w:p>
    <w:p>
      <w:r>
        <w:t>变量假设如下：每家机构月费15,000，约100名月活跃参与者，额外交付成本2,500；每个赞助单元收入10,000，内容及审查成本2,000。另有500名免费月活跃用户。每MAU增量成本8，包含云处理2、邮件0.5、支持3.5及风险复核2；收入另预留2%结算和坏账成本。固定人员与额外交付不可重复记账。</w:t>
      </w:r>
    </w:p>
    <w:p>
      <w:r>
        <w:t>设机构数为N、赞助数为S，则总MAU=500+100N，收入=15,000N+10,000S。</w:t>
      </w:r>
    </w:p>
    <w:p>
      <w:r>
        <w:t>总成本=90,000+8×MAU+2,500N+2,000S+收入×2%。</w:t>
      </w:r>
    </w:p>
    <w:p>
      <w:r>
        <w:t xml:space="preserve">扣除上述费用后的结果为 </w:t>
      </w:r>
      <w:r>
        <w:rPr>
          <w:b/>
        </w:rPr>
        <w:t>11,400N+7,800S−94,000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800"/>
        <w:gridCol w:w="1440"/>
        <w:gridCol w:w="1512"/>
        <w:gridCol w:w="2376"/>
        <w:gridCol w:w="2808"/>
      </w:tblGrid>
      <w:tr>
        <w:trPr>
          <w:cantSplit/>
          <w:tblHeader/>
        </w:trPr>
        <w:tc>
          <w:tcPr>
            <w:tcW w:type="dxa" w:w="1800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假设情景</w:t>
            </w:r>
          </w:p>
        </w:tc>
        <w:tc>
          <w:tcPr>
            <w:tcW w:type="dxa" w:w="1440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机构数 / 赞助数</w:t>
            </w:r>
          </w:p>
        </w:tc>
        <w:tc>
          <w:tcPr>
            <w:tcW w:type="dxa" w:w="1512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月收入</w:t>
            </w:r>
          </w:p>
        </w:tc>
        <w:tc>
          <w:tcPr>
            <w:tcW w:type="dxa" w:w="2376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月成本</w:t>
            </w:r>
          </w:p>
        </w:tc>
        <w:tc>
          <w:tcPr>
            <w:tcW w:type="dxa" w:w="2808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经营结果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初步付费验证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3 / 0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45,000</w:t>
            </w:r>
          </w:p>
        </w:tc>
        <w:tc>
          <w:tcPr>
            <w:tcW w:type="dxa" w:w="2376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104,800</w:t>
            </w:r>
          </w:p>
        </w:tc>
        <w:tc>
          <w:tcPr>
            <w:tcW w:type="dxa" w:w="2808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−59,800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接近成本覆盖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6 / 1</w:t>
            </w:r>
          </w:p>
        </w:tc>
        <w:tc>
          <w:tcPr>
            <w:tcW w:type="dxa" w:w="1512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100,000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117,800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−17,800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刚过示例盈亏线</w:t>
            </w:r>
          </w:p>
        </w:tc>
        <w:tc>
          <w:tcPr>
            <w:tcW w:type="dxa" w:w="1440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8 / 1</w:t>
            </w:r>
          </w:p>
        </w:tc>
        <w:tc>
          <w:tcPr>
            <w:tcW w:type="dxa" w:w="1512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130,000</w:t>
            </w:r>
          </w:p>
        </w:tc>
        <w:tc>
          <w:tcPr>
            <w:tcW w:type="dxa" w:w="2376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125,000</w:t>
            </w:r>
          </w:p>
        </w:tc>
        <w:tc>
          <w:tcPr>
            <w:tcW w:type="dxa" w:w="2808"/>
            <w:vAlign w:val="center"/>
            <w:shd w:fill="F0F4F7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000000"/>
                <w:sz w:val="20"/>
              </w:rPr>
              <w:t>+5,000</w:t>
            </w:r>
          </w:p>
        </w:tc>
      </w:tr>
    </w:tbl>
    <w:p>
      <w:pPr>
        <w:spacing w:after="40"/>
      </w:pPr>
    </w:p>
    <w:p>
      <w:r>
        <w:t>单家机构贡献=15,000−2,500−100×8−300=11,400；单个赞助贡献=10,000−2,000−200=7,800。按500名免费MAU计算，无赞助需要9家机构覆盖成本；有一个赞助需要8家。示例的5,000盈余非常薄，且8至9家客户时的实际人工交付能力尚未证明。小规模受众未必支持10,000的赞助价，不能把赞助收入当作既定前提。</w:t>
      </w:r>
    </w:p>
    <w:p>
      <w:r/>
      <w:r>
        <w:rPr>
          <w:b/>
        </w:rPr>
        <w:t>敏感性。</w:t>
      </w:r>
      <w:r>
        <w:t xml:space="preserve"> 机构价格降至12,000，单客贡献降至8,460，有一个赞助仍需11家机构；每MAU成本由8升至16，8客1赞助情景变为亏损5,400。</w:t>
      </w:r>
    </w:p>
    <w:p>
      <w:r>
        <w:t>新增免费用户的成本为每月8,000港元，对应1,000名没有归属收入的免费MAU。</w:t>
      </w:r>
    </w:p>
    <w:p>
      <w:r/>
      <w:r>
        <w:rPr>
          <w:b/>
        </w:rPr>
        <w:t>获客与现金。</w:t>
      </w:r>
      <w:r>
        <w:t xml:space="preserve"> 若机构获客成本暂估18,000、一次性启用成本6,000，贡献回收期为24,000÷11,400，约2.11个计费月，前提是按时收款和持续履约，不能推导无限期客户价值。</w:t>
      </w:r>
    </w:p>
    <w:p>
      <w:r>
        <w:t>消费者渠道的另一示例：投入6,000，取得120个激活用户，其中36人在D28回来，每位D28留存成本为166.67；没有收入归属时不能称为正回报。</w:t>
      </w:r>
    </w:p>
    <w:p>
      <w:r>
        <w:t>零收入且有500免费MAU时，月支出假设94,000。覆盖三个计费周期需282,000，再暂列一次性设备与独立审查等60,000，共342,000。这是待报价和批准的资金压力情景，不是已发生开支或融资需求定论。开发顺序仍以验收条件决定。</w:t>
      </w:r>
    </w:p>
    <w:p>
      <w:pPr>
        <w:pStyle w:val="Heading1"/>
      </w:pPr>
      <w:r>
        <w:t>10 验收路线与责任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872"/>
        <w:gridCol w:w="3816"/>
        <w:gridCol w:w="4248"/>
      </w:tblGrid>
      <w:tr>
        <w:trPr>
          <w:cantSplit/>
          <w:tblHeader/>
        </w:trPr>
        <w:tc>
          <w:tcPr>
            <w:tcW w:type="dxa" w:w="1872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依赖阶段</w:t>
            </w:r>
          </w:p>
        </w:tc>
        <w:tc>
          <w:tcPr>
            <w:tcW w:type="dxa" w:w="3816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放行依据</w:t>
            </w:r>
          </w:p>
        </w:tc>
        <w:tc>
          <w:tcPr>
            <w:tcW w:type="dxa" w:w="4248"/>
            <w:vAlign w:val="center"/>
            <w:shd w:fill="193B4C"/>
          </w:tcPr>
          <w:p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技术责任与支持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原生基础可交付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两部iPhone唯读HealthKit、来源比对、签署安装；关键账户与可及性场景通过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B负责，C复核；D支持黑盒QA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核心闭环可信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真实摘要到积分、撤回与离线恢复、错误重试、更正、删除及恢复演练通过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C负责账务与服务端，B负责移动体验，双方交叉复核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自愿用户验证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批准的指标、清楚的同意与保留规则；成熟样本证明持续价值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B/C实现与评审；A协调范围，D支持访谈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商业试点可执行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客户明确预算、批准合同与交付边界；实际付费、工时和回款可解释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B/C仍拥有技术项；A协调商业法律，D支持内容QA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扩展与公开交付</w:t>
            </w:r>
          </w:p>
        </w:tc>
        <w:tc>
          <w:tcPr>
            <w:tcW w:type="dxa" w:w="3816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未解决critical/high为零，相关人类验收、平台与法律材料齐备；单位贡献可持续</w:t>
            </w:r>
          </w:p>
        </w:tc>
        <w:tc>
          <w:tcPr>
            <w:tcW w:type="dxa" w:w="4248"/>
            <w:vAlign w:val="center"/>
            <w:shd w:fill="F0F4F7"/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B/C签署技术验收，运营者批准外部行动</w:t>
            </w:r>
          </w:p>
        </w:tc>
      </w:tr>
    </w:tbl>
    <w:p>
      <w:pPr>
        <w:spacing w:after="40"/>
      </w:pPr>
    </w:p>
    <w:p>
      <w:r>
        <w:t>项目58项技术要求继续由B/C负责并互审，A负责商业、产品范围及法律协调，D提供研究、设计和QA支持。项目字母不是管理员权限，高风险更正仍需真实角色和第二人确认。真实商户、企业后台、订阅支付、赞助及独立Lab按照各自条件放行，不挤占核心验收。</w:t>
      </w:r>
    </w:p>
    <w:p>
      <w:pPr>
        <w:pStyle w:val="Heading1"/>
      </w:pPr>
      <w:r>
        <w:t>11 本次需要决定的事项</w:t>
      </w:r>
    </w:p>
    <w:p>
      <w:pPr>
        <w:pStyle w:val="ListBullet"/>
      </w:pPr>
      <w:r>
        <w:t>是否继续采用成年、无现金、无健康广告的核心定位，并选定首先验证的用户场景。</w:t>
      </w:r>
    </w:p>
    <w:p>
      <w:pPr>
        <w:pStyle w:val="ListBullet"/>
      </w:pPr>
      <w:r>
        <w:t>是否授权取得设备签署条件及两部测试iPhone，明确B/C验收记录和D支持范围。</w:t>
      </w:r>
    </w:p>
    <w:p>
      <w:pPr>
        <w:pStyle w:val="ListBullet"/>
      </w:pPr>
      <w:r>
        <w:t>是否批准最少第一方指标、研究招募口径、数据保留及语言适配验证。</w:t>
      </w:r>
    </w:p>
    <w:p>
      <w:pPr>
        <w:pStyle w:val="ListBullet"/>
      </w:pPr>
      <w:r>
        <w:t>是否同意对机构服务交付与拟价开展预算访谈，并设定外联、合同和支出的授权边界。</w:t>
      </w:r>
    </w:p>
    <w:p>
      <w:pPr>
        <w:pStyle w:val="ListBullet"/>
      </w:pPr>
      <w:r>
        <w:t>是否接受成本覆盖前的资金压力、预算上限和停止条件；取得报价后重新计算单位经济。</w:t>
      </w:r>
    </w:p>
    <w:p>
      <w:pPr>
        <w:pStyle w:val="ListBullet"/>
      </w:pPr>
      <w:r>
        <w:t>若留存只能依赖现金补贴，或客户只愿购买健康明细，是否停止或重新定义该商业方向。</w:t>
      </w:r>
    </w:p>
    <w:p>
      <w:r>
        <w:t>首先要取得的新增证据是实机可用性、用户持续价值和买方真实预算。当前原生录像说明应用已经能够被操作，尚不能回答这些商业问题。每次扩大范围，应记录新增证据、负责人和退出条件。</w:t>
      </w:r>
    </w:p>
    <w:p>
      <w:pPr>
        <w:pStyle w:val="Heading1"/>
      </w:pPr>
      <w:r>
        <w:t>12 官方资料与项目证据</w:t>
      </w:r>
    </w:p>
    <w:p>
      <w:r>
        <w:t>市场与竞品资料检索于2026年9月28日，仅用于说明可核对事实，不构成合作、背书或效果保证：</w:t>
      </w:r>
    </w:p>
    <w:p>
      <w:pPr>
        <w:pStyle w:val="ListBullet"/>
      </w:pPr>
      <w:r/>
      <w:hyperlink r:id="rId10">
        <w:r>
          <w:rPr>
            <w:color w:val="075D75"/>
          </w:rPr>
          <w:t>香港卫生署2023年度健康行为调查</w:t>
        </w:r>
      </w:hyperlink>
      <w:r/>
    </w:p>
    <w:p>
      <w:pPr>
        <w:pStyle w:val="ListBullet"/>
      </w:pPr>
      <w:r/>
      <w:hyperlink r:id="rId12">
        <w:r>
          <w:rPr>
            <w:color w:val="075D75"/>
          </w:rPr>
          <w:t>Apple健康应用说明</w:t>
        </w:r>
      </w:hyperlink>
      <w:r/>
    </w:p>
    <w:p>
      <w:pPr>
        <w:pStyle w:val="ListBullet"/>
      </w:pPr>
      <w:r/>
      <w:hyperlink r:id="rId13">
        <w:r>
          <w:rPr>
            <w:color w:val="075D75"/>
          </w:rPr>
          <w:t>Sweatcoin官方条款</w:t>
        </w:r>
      </w:hyperlink>
      <w:r/>
    </w:p>
    <w:p>
      <w:pPr>
        <w:pStyle w:val="ListBullet"/>
      </w:pPr>
      <w:r/>
      <w:hyperlink r:id="rId14">
        <w:r>
          <w:rPr>
            <w:color w:val="075D75"/>
          </w:rPr>
          <w:t>STEPN官方Energy机制</w:t>
        </w:r>
      </w:hyperlink>
      <w:r/>
    </w:p>
    <w:p>
      <w:pPr>
        <w:pStyle w:val="ListBullet"/>
      </w:pPr>
      <w:r/>
      <w:hyperlink r:id="rId11">
        <w:r>
          <w:rPr>
            <w:color w:val="075D75"/>
          </w:rPr>
          <w:t>Apple App Review Guidelines</w:t>
        </w:r>
      </w:hyperlink>
      <w:r/>
    </w:p>
    <w:sectPr w:rsidR="00FC693F" w:rsidRPr="0006063C" w:rsidSect="00034616">
      <w:footerReference w:type="default" r:id="rId9"/>
      <w:pgSz w:w="12240" w:h="15840"/>
      <w:pgMar w:top="936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HealthLoop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ordWrap w:val="off"/>
      <w:spacing w:line="300" w:lineRule="auto" w:after="100"/>
    </w:pPr>
    <w:rPr>
      <w:rFonts w:ascii="Arial Unicode MS" w:hAnsi="Arial Unicode MS" w:eastAsia="Arial Unicode MS" w:cs="Arial Unicode MS"/>
      <w:b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  <w:wordWrap w:val="off"/>
    </w:pPr>
    <w:rPr>
      <w:rFonts w:ascii="Arial Unicode MS" w:hAnsi="Arial Unicode MS" w:eastAsia="Arial Unicode MS" w:cs="Arial Unicode MS"/>
      <w:b/>
      <w:bCs/>
      <w:color w:val="000000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  <w:wordWrap w:val="off"/>
    </w:pPr>
    <w:rPr>
      <w:rFonts w:ascii="Arial Unicode MS" w:hAnsi="Arial Unicode MS" w:eastAsia="Arial Unicode MS" w:cs="Arial Unicode MS"/>
      <w:b/>
      <w:bCs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  <w:wordWrap w:val="off"/>
    </w:pPr>
    <w:rPr>
      <w:rFonts w:ascii="Arial Unicode MS" w:hAnsi="Arial Unicode MS" w:eastAsia="Arial Unicode MS" w:cs="Arial Unicode MS"/>
      <w:b/>
      <w:color w:val="000000"/>
      <w:spacing w:val="5"/>
      <w:kern w:val="28"/>
      <w:sz w:val="48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wordWrap w:val="off"/>
    </w:pPr>
    <w:rPr>
      <w:rFonts w:ascii="Arial Unicode MS" w:hAnsi="Arial Unicode MS" w:eastAsia="Arial Unicode MS" w:cs="Arial Unicode MS"/>
      <w:b w:val="0"/>
      <w:i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wordWrap w:val="off"/>
    </w:pPr>
    <w:rPr>
      <w:rFonts w:ascii="Arial Unicode MS" w:hAnsi="Arial Unicode MS" w:eastAsia="Arial Unicode MS" w:cs="Arial Unicode MS"/>
      <w:b w:val="0"/>
      <w:color w:val="000000"/>
      <w:sz w:val="22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hp.gov.hk/files/pdf/dh_hbs_2023_report_eng.pdf" TargetMode="External"/><Relationship Id="rId11" Type="http://schemas.openxmlformats.org/officeDocument/2006/relationships/hyperlink" Target="https://developer.apple.com/app-store/review/guidelines/#health-and-health-research" TargetMode="External"/><Relationship Id="rId12" Type="http://schemas.openxmlformats.org/officeDocument/2006/relationships/hyperlink" Target="https://support.apple.com/en-hk/104997" TargetMode="External"/><Relationship Id="rId13" Type="http://schemas.openxmlformats.org/officeDocument/2006/relationships/hyperlink" Target="https://sweatco.in/tnc" TargetMode="External"/><Relationship Id="rId14" Type="http://schemas.openxmlformats.org/officeDocument/2006/relationships/hyperlink" Target="https://whitepaper.stepn.com/running-module/energy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HealthLoop 应用说明与商业提案</dc:title>
  <dc:subject>2026-09-28 简体中文方案</dc:subject>
  <dc:creator>HealthLoop 项目团队</dc:creator>
  <cp:keywords/>
  <dc:description/>
  <cp:lastModifiedBy>HealthLoop 项目团队</cp:lastModifiedBy>
  <cp:revision>1</cp:revision>
  <dcterms:created xsi:type="dcterms:W3CDTF">2013-12-23T23:15:00Z</dcterms:created>
  <dcterms:modified xsi:type="dcterms:W3CDTF">2013-12-23T23:15:00Z</dcterms:modified>
  <cp:category/>
</cp:coreProperties>
</file>