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HealthLoop Train to Earn 代币经济与路线图</w:t>
      </w:r>
    </w:p>
    <w:p>
      <w:r>
        <w:t>日期：2026-09-28</w:t>
      </w:r>
    </w:p>
    <w:p>
      <w:r>
        <w:t>文件性质：产品与经济模型讨论稿。面向香港成人健康习惯产品的条件性方案，不是代币发售文件、投资建议、法律意见或上线批准。文中供应量、分配比例、预算、锁仓、治理门槛和风险阈值全部为说明参数，须经过业务验证、专业审查及另行批准。</w:t>
      </w:r>
    </w:p>
    <w:p>
      <w:pPr>
        <w:pStyle w:val="Heading1"/>
      </w:pPr>
      <w:r>
        <w:t>一 建议与决策摘要</w:t>
      </w:r>
    </w:p>
    <w:p>
      <w:r>
        <w:t>HealthLoop 应先证明用户愿意持续使用健康习惯服务，以及真实服务收入足以支持履约和运营，再决定是否需要可转让代币。建议保留现有积分产品，使用独立测试网实验验证钱包和分发技术；只有平台、法律、隐私、商业与安全条件全部满足，才讨论另立真实 Train-to-Earn 产品。</w:t>
      </w:r>
    </w:p>
    <w:p>
      <w:r>
        <w:t>本提案提供一个可复算的候选模型：最大累计铸造量为一亿单位；全部代币在创世时一次铸造，随后按受限预算释放；用户奖励池占45%，其他份额用于国库、贡献者、服务生态、安全和有条件的市场流动性。用户完成合格习惯任务后获得的是预算内分配，不是无限挖矿、固定工资或投资回报。</w:t>
      </w:r>
    </w:p>
    <w:p>
      <w:r>
        <w:t>代币的可持续性来自真实可交付的效用、现金收入、有限发行和可审计支出。自愿消费可以产生销毁，但销毁不能创造商户收入，也不保证价格上涨。没有真实服务需求时，应允许发放减少、销毁为零，甚至决定长期只保留积分产品。</w:t>
      </w:r>
    </w:p>
    <w:p>
      <w:r>
        <w:t>当前最重要的外部障碍是 iOS 平台政策。Apple 对加密货币应用以完成任务发放货币有明确限制，不能把运动任务视为已获豁免。因此，本提案不是在现有应用里增加“积分兑换代币”按钮的执行许可。</w:t>
      </w:r>
    </w:p>
    <w:p>
      <w:pPr>
        <w:pStyle w:val="Heading1"/>
      </w:pPr>
      <w:r>
        <w:t>二 三个范围必须分开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15" w:type="dxa"/>
          <w:right w:w="115" w:type="dxa"/>
        </w:tblCellMar>
      </w:tblPr>
      <w:tblGrid>
        <w:gridCol w:w="2232"/>
        <w:gridCol w:w="1800"/>
        <w:gridCol w:w="2016"/>
        <w:gridCol w:w="3888"/>
      </w:tblGrid>
      <w:tr>
        <w:trPr>
          <w:cantSplit/>
          <w:tblHeader/>
        </w:trPr>
        <w:tc>
          <w:tcPr>
            <w:tcW w:type="dxa" w:w="2232"/>
            <w:vAlign w:val="center"/>
            <w:shd w:fill="193B4C"/>
          </w:tcPr>
          <w:p>
            <w:pPr>
              <w:spacing w:after="0" w:line="269" w:lineRule="auto"/>
              <w:jc w:val="center"/>
            </w:pPr>
            <w:r>
              <w:rPr>
                <w:b/>
                <w:color w:val="FFFFFF"/>
                <w:sz w:val="20"/>
              </w:rPr>
              <w:t>范围</w:t>
            </w:r>
          </w:p>
        </w:tc>
        <w:tc>
          <w:tcPr>
            <w:tcW w:type="dxa" w:w="1800"/>
            <w:vAlign w:val="center"/>
            <w:shd w:fill="193B4C"/>
          </w:tcPr>
          <w:p>
            <w:pPr>
              <w:spacing w:after="0" w:line="269" w:lineRule="auto"/>
              <w:jc w:val="center"/>
            </w:pPr>
            <w:r>
              <w:rPr>
                <w:b/>
                <w:color w:val="FFFFFF"/>
                <w:sz w:val="20"/>
              </w:rPr>
              <w:t>用户获得什么</w:t>
            </w:r>
          </w:p>
        </w:tc>
        <w:tc>
          <w:tcPr>
            <w:tcW w:type="dxa" w:w="2016"/>
            <w:vAlign w:val="center"/>
            <w:shd w:fill="193B4C"/>
          </w:tcPr>
          <w:p>
            <w:pPr>
              <w:spacing w:after="0" w:line="269" w:lineRule="auto"/>
              <w:jc w:val="center"/>
            </w:pPr>
            <w:r>
              <w:rPr>
                <w:b/>
                <w:color w:val="FFFFFF"/>
                <w:sz w:val="20"/>
              </w:rPr>
              <w:t>数据与身份边界</w:t>
            </w:r>
          </w:p>
        </w:tc>
        <w:tc>
          <w:tcPr>
            <w:tcW w:type="dxa" w:w="3888"/>
            <w:vAlign w:val="center"/>
            <w:shd w:fill="193B4C"/>
          </w:tcPr>
          <w:p>
            <w:pPr>
              <w:spacing w:after="0" w:line="269" w:lineRule="auto"/>
              <w:jc w:val="center"/>
            </w:pPr>
            <w:r>
              <w:rPr>
                <w:b/>
                <w:color w:val="FFFFFF"/>
                <w:sz w:val="20"/>
              </w:rPr>
              <w:t>当前结论</w:t>
            </w:r>
          </w:p>
        </w:tc>
      </w:tr>
      <w:tr>
        <w:trPr>
          <w:cantSplit/>
        </w:trPr>
        <w:tc>
          <w:tcPr>
            <w:tcW w:type="dxa" w:w="2232"/>
            <w:vAlign w:val="center"/>
            <w:shd w:fill="F0F4F7"/>
          </w:tcPr>
          <w:p>
            <w:pPr>
              <w:spacing w:after="0" w:line="269" w:lineRule="auto"/>
            </w:pPr>
            <w:r>
              <w:rPr>
                <w:b w:val="0"/>
                <w:color w:val="000000"/>
                <w:sz w:val="20"/>
              </w:rPr>
              <w:t>核心健康应用</w:t>
            </w:r>
          </w:p>
        </w:tc>
        <w:tc>
          <w:tcPr>
            <w:tcW w:type="dxa" w:w="1800"/>
            <w:vAlign w:val="center"/>
            <w:shd w:fill="F0F4F7"/>
          </w:tcPr>
          <w:p>
            <w:pPr>
              <w:spacing w:after="0" w:line="269" w:lineRule="auto"/>
            </w:pPr>
            <w:r>
              <w:rPr>
                <w:b w:val="0"/>
                <w:color w:val="000000"/>
                <w:sz w:val="20"/>
              </w:rPr>
              <w:t>不可转让、无现金价值的链下积分及展示权益</w:t>
            </w:r>
          </w:p>
        </w:tc>
        <w:tc>
          <w:tcPr>
            <w:tcW w:type="dxa" w:w="2016"/>
            <w:vAlign w:val="center"/>
            <w:shd w:fill="F0F4F7"/>
          </w:tcPr>
          <w:p>
            <w:pPr>
              <w:spacing w:after="0" w:line="269" w:lineRule="auto"/>
            </w:pPr>
            <w:r>
              <w:rPr>
                <w:b w:val="0"/>
                <w:color w:val="000000"/>
                <w:sz w:val="20"/>
              </w:rPr>
              <w:t>核心账户与获准的最少健康摘要；不要求钱包</w:t>
            </w:r>
          </w:p>
        </w:tc>
        <w:tc>
          <w:tcPr>
            <w:tcW w:type="dxa" w:w="3888"/>
            <w:vAlign w:val="center"/>
            <w:shd w:fill="F0F4F7"/>
          </w:tcPr>
          <w:p>
            <w:pPr>
              <w:spacing w:after="0" w:line="269" w:lineRule="auto"/>
            </w:pPr>
            <w:r>
              <w:rPr>
                <w:b w:val="0"/>
                <w:color w:val="000000"/>
                <w:sz w:val="20"/>
              </w:rPr>
              <w:t>继续完成真实设备与人工验收，无未来换币承诺</w:t>
            </w:r>
          </w:p>
        </w:tc>
      </w:tr>
      <w:tr>
        <w:trPr>
          <w:cantSplit/>
        </w:trPr>
        <w:tc>
          <w:tcPr>
            <w:tcW w:type="dxa" w:w="2232"/>
            <w:vAlign w:val="center"/>
            <w:shd w:fill="FFFFFF"/>
          </w:tcPr>
          <w:p>
            <w:pPr>
              <w:spacing w:after="0" w:line="269" w:lineRule="auto"/>
            </w:pPr>
            <w:r>
              <w:rPr>
                <w:b w:val="0"/>
                <w:color w:val="000000"/>
                <w:sz w:val="20"/>
              </w:rPr>
              <w:t>独立 Web3 Lab</w:t>
            </w:r>
          </w:p>
        </w:tc>
        <w:tc>
          <w:tcPr>
            <w:tcW w:type="dxa" w:w="1800"/>
            <w:vAlign w:val="center"/>
            <w:shd w:fill="FFFFFF"/>
          </w:tcPr>
          <w:p>
            <w:pPr>
              <w:spacing w:after="0" w:line="269" w:lineRule="auto"/>
            </w:pPr>
            <w:r>
              <w:rPr>
                <w:b w:val="0"/>
                <w:color w:val="000000"/>
                <w:sz w:val="20"/>
              </w:rPr>
              <w:t>无价值、无兑换权的 TEST-HLT 测试币</w:t>
            </w:r>
          </w:p>
        </w:tc>
        <w:tc>
          <w:tcPr>
            <w:tcW w:type="dxa" w:w="2016"/>
            <w:vAlign w:val="center"/>
            <w:shd w:fill="FFFFFF"/>
          </w:tcPr>
          <w:p>
            <w:pPr>
              <w:spacing w:after="0" w:line="269" w:lineRule="auto"/>
            </w:pPr>
            <w:r>
              <w:rPr>
                <w:b w:val="0"/>
                <w:color w:val="000000"/>
                <w:sz w:val="20"/>
              </w:rPr>
              <w:t>合成任务、独立账户、数据库和密钥；不读真实健康数据</w:t>
            </w:r>
          </w:p>
        </w:tc>
        <w:tc>
          <w:tcPr>
            <w:tcW w:type="dxa" w:w="3888"/>
            <w:vAlign w:val="center"/>
            <w:shd w:fill="FFFFFF"/>
          </w:tcPr>
          <w:p>
            <w:pPr>
              <w:spacing w:after="0" w:line="269" w:lineRule="auto"/>
            </w:pPr>
            <w:r>
              <w:rPr>
                <w:b w:val="0"/>
                <w:color w:val="000000"/>
                <w:sz w:val="20"/>
              </w:rPr>
              <w:t>L01–L08 尚未开始；先本地验证，再按批准范围测试</w:t>
            </w:r>
          </w:p>
        </w:tc>
      </w:tr>
      <w:tr>
        <w:trPr>
          <w:cantSplit/>
        </w:trPr>
        <w:tc>
          <w:tcPr>
            <w:tcW w:type="dxa" w:w="2232"/>
            <w:vAlign w:val="center"/>
            <w:shd w:fill="F0F4F7"/>
          </w:tcPr>
          <w:p>
            <w:pPr>
              <w:spacing w:after="0" w:line="269" w:lineRule="auto"/>
            </w:pPr>
            <w:r>
              <w:rPr>
                <w:b w:val="0"/>
                <w:color w:val="000000"/>
                <w:sz w:val="20"/>
              </w:rPr>
              <w:t>条件性真实T2E</w:t>
            </w:r>
          </w:p>
        </w:tc>
        <w:tc>
          <w:tcPr>
            <w:tcW w:type="dxa" w:w="1800"/>
            <w:vAlign w:val="center"/>
            <w:shd w:fill="F0F4F7"/>
          </w:tcPr>
          <w:p>
            <w:pPr>
              <w:spacing w:after="0" w:line="269" w:lineRule="auto"/>
            </w:pPr>
            <w:r>
              <w:rPr>
                <w:b w:val="0"/>
                <w:color w:val="000000"/>
                <w:sz w:val="20"/>
              </w:rPr>
              <w:t>可能可转让的未来代币及经审查的服务用途</w:t>
            </w:r>
          </w:p>
        </w:tc>
        <w:tc>
          <w:tcPr>
            <w:tcW w:type="dxa" w:w="2016"/>
            <w:vAlign w:val="center"/>
            <w:shd w:fill="F0F4F7"/>
          </w:tcPr>
          <w:p>
            <w:pPr>
              <w:spacing w:after="0" w:line="269" w:lineRule="auto"/>
            </w:pPr>
            <w:r>
              <w:rPr>
                <w:b w:val="0"/>
                <w:color w:val="000000"/>
                <w:sz w:val="20"/>
              </w:rPr>
              <w:t>须重新批准产品、数据地图、身份与钱包处理方式</w:t>
            </w:r>
          </w:p>
        </w:tc>
        <w:tc>
          <w:tcPr>
            <w:tcW w:type="dxa" w:w="3888"/>
            <w:vAlign w:val="center"/>
            <w:shd w:fill="F0F4F7"/>
          </w:tcPr>
          <w:p>
            <w:pPr>
              <w:spacing w:after="0" w:line="269" w:lineRule="auto"/>
            </w:pPr>
            <w:r>
              <w:rPr>
                <w:b w:val="0"/>
                <w:color w:val="000000"/>
                <w:sz w:val="20"/>
              </w:rPr>
              <w:t>未实现、未批准发行，不继承核心积分或测试币余额</w:t>
            </w:r>
          </w:p>
        </w:tc>
      </w:tr>
    </w:tbl>
    <w:p>
      <w:pPr>
        <w:spacing w:after="40"/>
      </w:pPr>
    </w:p>
    <w:p>
      <w:r>
        <w:t xml:space="preserve">截至本文件基线，仓库已记录本地认证、服务端接口及模拟器登录、页面和会话流程的验证。这些证据不等于两部真实 iPhone 的 HealthKit 验收、商户履约验证或代币项目完成。现状以 </w:t>
      </w:r>
      <w:hyperlink r:id="rId10">
        <w:r>
          <w:rPr>
            <w:color w:val="075D75"/>
          </w:rPr>
          <w:t>实施状态</w:t>
        </w:r>
      </w:hyperlink>
      <w:r>
        <w:t xml:space="preserve"> 与 </w:t>
      </w:r>
      <w:hyperlink r:id="rId11">
        <w:r>
          <w:rPr>
            <w:color w:val="075D75"/>
          </w:rPr>
          <w:t>测试证据</w:t>
        </w:r>
      </w:hyperlink>
      <w:r>
        <w:t xml:space="preserve"> 为准，原58项需求及B／C分工保持不变。</w:t>
      </w:r>
    </w:p>
    <w:p>
      <w:r>
        <w:t>Lab 唯一允许的远程网络是 Base Sepolia，链 ID 为84532。Base 官方资料确认该网络为测试网；它的可用性不代表任何经济价值或正式发行许可。实验界面应持续说明“测试网实验：代币无价值，无兑换权，不代表未来主网权益”。</w:t>
      </w:r>
      <w:hyperlink r:id="rId12">
        <w:r>
          <w:rPr>
            <w:color w:val="075D75"/>
          </w:rPr>
          <w:t>Base 网络资料</w:t>
        </w:r>
      </w:hyperlink>
      <w:r/>
    </w:p>
    <w:p>
      <w:r>
        <w:t>真实健康行为直接产生可转让代币，会改变现有产品承诺、平台准入和隐私风险，是需要单独批准的架构变更。不得导出核心任务记录作为 Lab 领取凭证，不得按历史积分空投，也不得承诺 TEST-HLT 以后换成正式代币。</w:t>
      </w:r>
    </w:p>
    <w:p>
      <w:pPr>
        <w:pStyle w:val="Heading1"/>
      </w:pPr>
      <w:r>
        <w:t>三 平台与法律准入条件</w:t>
      </w:r>
    </w:p>
    <w:p>
      <w:pPr>
        <w:pStyle w:val="Heading2"/>
      </w:pPr>
      <w:r>
        <w:t>iOS 是必须先解决的限制</w:t>
      </w:r>
    </w:p>
    <w:p>
      <w:r>
        <w:t>Apple《App Review Guidelines》3.1.5(v) 禁止加密货币应用以完成任务发放货币；条文列举的下载、推荐和社交发布等任务没有构成运动任务的明确豁免。5.1.3(i) 对使用健康数据向用户直接提供利益设有提供者提交应用、不向第三方分享数据等条件。后一条不能被解释成取消前一条限制。</w:t>
      </w:r>
      <w:hyperlink r:id="rId13">
        <w:r>
          <w:rPr>
            <w:color w:val="075D75"/>
          </w:rPr>
          <w:t>Apple 审核指南</w:t>
        </w:r>
      </w:hyperlink>
      <w:r/>
    </w:p>
    <w:p>
      <w:r>
        <w:t>据此作出的产品判断是：真实 iOS Train-to-Earn 存在重大准入障碍。应先准备完整功能说明、数据流、奖励机制和应用提交主体，由合资格顾问评估，并取得针对实际产品的适用审查结论。未得到可执行的允许路径，就保留积分版；不通过隐藏功能、改名或网页跳转规避审核。</w:t>
      </w:r>
    </w:p>
    <w:p>
      <w:pPr>
        <w:pStyle w:val="Heading2"/>
      </w:pPr>
      <w:r>
        <w:t>Android 只能作为另行评估的方向</w:t>
      </w:r>
    </w:p>
    <w:p>
      <w:r>
        <w:t>Google 的健康权限指引明确列出以健康习惯和目标换取财务奖励的 Rewards 用途，同时限制健康数据销售、广告定向和其他不允许用途。其区块链内容政策要求申报可赚取的代币化数字资产，并限制夸大潜在收益。因此不能笼统声称所有平台都禁止健康奖励，也不能据此宣布本项目的 Android 方案已获准。</w:t>
      </w:r>
      <w:hyperlink r:id="rId14">
        <w:r>
          <w:rPr>
            <w:color w:val="075D75"/>
          </w:rPr>
          <w:t>Google 健康权限指引</w:t>
        </w:r>
      </w:hyperlink>
      <w:r>
        <w:t>、</w:t>
      </w:r>
      <w:hyperlink r:id="rId15">
        <w:r>
          <w:rPr>
            <w:color w:val="075D75"/>
          </w:rPr>
          <w:t>Google 区块链内容政策</w:t>
        </w:r>
      </w:hyperlink>
      <w:r/>
    </w:p>
    <w:p>
      <w:r>
        <w:t>若评估 Android，应另立范围和验收，不替换现有 iOS 优先决策，不把平台差异当作可以忽略法律、数据使用限制或广告边界的理由。</w:t>
      </w:r>
    </w:p>
    <w:p>
      <w:pPr>
        <w:pStyle w:val="Heading2"/>
      </w:pPr>
      <w:r>
        <w:t>香港法律判断取决于实际权利和经营活动</w:t>
      </w:r>
    </w:p>
    <w:p>
      <w:r>
        <w:t>SFC 的 ICO 声明说明，代币可能因股份、债务或集体投资计划等实质权利而涉及证券规管。该声明发表于2017年，本文件仅用其说明分类原则。SFC 当前的交易平台资料则说明，在香港经营或积极向香港投资者营销的中央虚拟资产交易平台受相关许可规管。不能推导所有代币发行方都需要同一平台牌照，也不能因为写上“实用型”就推导无需监管。</w:t>
      </w:r>
      <w:hyperlink r:id="rId16">
        <w:r>
          <w:rPr>
            <w:color w:val="075D75"/>
          </w:rPr>
          <w:t>SFC ICO 声明</w:t>
        </w:r>
      </w:hyperlink>
      <w:r>
        <w:t>、</w:t>
      </w:r>
      <w:hyperlink r:id="rId17">
        <w:r>
          <w:rPr>
            <w:color w:val="075D75"/>
          </w:rPr>
          <w:t>SFC 虚拟资产交易平台范围</w:t>
        </w:r>
      </w:hyperlink>
      <w:r/>
    </w:p>
    <w:p>
      <w:r>
        <w:t>法律交付物应覆盖发行、奖励、营销、托管、兑换、交易安排、税务和目标地区，形成允许、附条件允许与不允许的活动矩阵。A负责协调，法律结论由合资格专业人士提供。当前不提出稳定币、港元挂钩、保本、固定回购、分红或利息设计；这些设计不能替代真实产品效用。</w:t>
      </w:r>
    </w:p>
    <w:p>
      <w:pPr>
        <w:pStyle w:val="Heading1"/>
      </w:pPr>
      <w:r>
        <w:t>四 一亿单位固定累计供应的候选分配</w:t>
      </w:r>
    </w:p>
    <w:p>
      <w:r>
        <w:t>正式名称、符号、网络和发行主体均未确定。一亿单位仅便于展示比例和压力测试，与估值、融资额或交易价格无关。以下没有隐含预售份额；未来如改变分配，必须重新披露并审查，不能从未说明的增发中补足。</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15" w:type="dxa"/>
          <w:right w:w="115" w:type="dxa"/>
        </w:tblCellMar>
      </w:tblPr>
      <w:tblGrid>
        <w:gridCol w:w="2232"/>
        <w:gridCol w:w="1800"/>
        <w:gridCol w:w="2016"/>
        <w:gridCol w:w="3888"/>
      </w:tblGrid>
      <w:tr>
        <w:trPr>
          <w:cantSplit/>
          <w:tblHeader/>
        </w:trPr>
        <w:tc>
          <w:tcPr>
            <w:tcW w:type="dxa" w:w="2232"/>
            <w:vAlign w:val="center"/>
            <w:shd w:fill="193B4C"/>
          </w:tcPr>
          <w:p>
            <w:pPr>
              <w:spacing w:after="0" w:line="269" w:lineRule="auto"/>
              <w:jc w:val="center"/>
            </w:pPr>
            <w:r>
              <w:rPr>
                <w:b/>
                <w:color w:val="FFFFFF"/>
                <w:sz w:val="20"/>
              </w:rPr>
              <w:t>用途</w:t>
            </w:r>
          </w:p>
        </w:tc>
        <w:tc>
          <w:tcPr>
            <w:tcW w:type="dxa" w:w="1800"/>
            <w:vAlign w:val="center"/>
            <w:shd w:fill="193B4C"/>
          </w:tcPr>
          <w:p>
            <w:pPr>
              <w:spacing w:after="0" w:line="269" w:lineRule="auto"/>
              <w:jc w:val="center"/>
            </w:pPr>
            <w:r>
              <w:rPr>
                <w:b/>
                <w:color w:val="FFFFFF"/>
                <w:sz w:val="20"/>
              </w:rPr>
              <w:t>比例</w:t>
            </w:r>
          </w:p>
        </w:tc>
        <w:tc>
          <w:tcPr>
            <w:tcW w:type="dxa" w:w="2016"/>
            <w:vAlign w:val="center"/>
            <w:shd w:fill="193B4C"/>
          </w:tcPr>
          <w:p>
            <w:pPr>
              <w:spacing w:after="0" w:line="269" w:lineRule="auto"/>
              <w:jc w:val="center"/>
            </w:pPr>
            <w:r>
              <w:rPr>
                <w:b/>
                <w:color w:val="FFFFFF"/>
                <w:sz w:val="20"/>
              </w:rPr>
              <w:t>数量</w:t>
            </w:r>
          </w:p>
        </w:tc>
        <w:tc>
          <w:tcPr>
            <w:tcW w:type="dxa" w:w="3888"/>
            <w:vAlign w:val="center"/>
            <w:shd w:fill="193B4C"/>
          </w:tcPr>
          <w:p>
            <w:pPr>
              <w:spacing w:after="0" w:line="269" w:lineRule="auto"/>
              <w:jc w:val="center"/>
            </w:pPr>
            <w:r>
              <w:rPr>
                <w:b/>
                <w:color w:val="FFFFFF"/>
                <w:sz w:val="20"/>
              </w:rPr>
              <w:t>建议释放条件</w:t>
            </w:r>
          </w:p>
        </w:tc>
      </w:tr>
      <w:tr>
        <w:trPr>
          <w:cantSplit/>
        </w:trPr>
        <w:tc>
          <w:tcPr>
            <w:tcW w:type="dxa" w:w="2232"/>
            <w:vAlign w:val="center"/>
            <w:shd w:fill="F0F4F7"/>
          </w:tcPr>
          <w:p>
            <w:pPr>
              <w:spacing w:after="0" w:line="269" w:lineRule="auto"/>
            </w:pPr>
            <w:r>
              <w:rPr>
                <w:b w:val="0"/>
                <w:color w:val="000000"/>
                <w:sz w:val="20"/>
              </w:rPr>
              <w:t>用户参与奖励池</w:t>
            </w:r>
          </w:p>
        </w:tc>
        <w:tc>
          <w:tcPr>
            <w:tcW w:type="dxa" w:w="1800"/>
            <w:vAlign w:val="center"/>
            <w:shd w:fill="F0F4F7"/>
          </w:tcPr>
          <w:p>
            <w:pPr>
              <w:spacing w:after="0" w:line="269" w:lineRule="auto"/>
              <w:jc w:val="center"/>
            </w:pPr>
            <w:r>
              <w:rPr>
                <w:b w:val="0"/>
                <w:color w:val="000000"/>
                <w:sz w:val="20"/>
              </w:rPr>
              <w:t>45%</w:t>
            </w:r>
          </w:p>
        </w:tc>
        <w:tc>
          <w:tcPr>
            <w:tcW w:type="dxa" w:w="2016"/>
            <w:vAlign w:val="center"/>
            <w:shd w:fill="F0F4F7"/>
          </w:tcPr>
          <w:p>
            <w:pPr>
              <w:spacing w:after="0" w:line="269" w:lineRule="auto"/>
              <w:jc w:val="center"/>
            </w:pPr>
            <w:r>
              <w:rPr>
                <w:b w:val="0"/>
                <w:color w:val="000000"/>
                <w:sz w:val="20"/>
              </w:rPr>
              <w:t>45,000,000</w:t>
            </w:r>
          </w:p>
        </w:tc>
        <w:tc>
          <w:tcPr>
            <w:tcW w:type="dxa" w:w="3888"/>
            <w:vAlign w:val="center"/>
            <w:shd w:fill="F0F4F7"/>
          </w:tcPr>
          <w:p>
            <w:pPr>
              <w:spacing w:after="0" w:line="269" w:lineRule="auto"/>
            </w:pPr>
            <w:r>
              <w:rPr>
                <w:b w:val="0"/>
                <w:color w:val="000000"/>
                <w:sz w:val="20"/>
              </w:rPr>
              <w:t>合格任务、核验及已批准周期预算；未用额度保留</w:t>
            </w:r>
          </w:p>
        </w:tc>
      </w:tr>
      <w:tr>
        <w:trPr>
          <w:cantSplit/>
        </w:trPr>
        <w:tc>
          <w:tcPr>
            <w:tcW w:type="dxa" w:w="2232"/>
            <w:vAlign w:val="center"/>
            <w:shd w:fill="FFFFFF"/>
          </w:tcPr>
          <w:p>
            <w:pPr>
              <w:spacing w:after="0" w:line="269" w:lineRule="auto"/>
            </w:pPr>
            <w:r>
              <w:rPr>
                <w:b w:val="0"/>
                <w:color w:val="000000"/>
                <w:sz w:val="20"/>
              </w:rPr>
              <w:t>长期国库与运营</w:t>
            </w:r>
          </w:p>
        </w:tc>
        <w:tc>
          <w:tcPr>
            <w:tcW w:type="dxa" w:w="1800"/>
            <w:vAlign w:val="center"/>
            <w:shd w:fill="FFFFFF"/>
          </w:tcPr>
          <w:p>
            <w:pPr>
              <w:spacing w:after="0" w:line="269" w:lineRule="auto"/>
              <w:jc w:val="center"/>
            </w:pPr>
            <w:r>
              <w:rPr>
                <w:b w:val="0"/>
                <w:color w:val="000000"/>
                <w:sz w:val="20"/>
              </w:rPr>
              <w:t>20%</w:t>
            </w:r>
          </w:p>
        </w:tc>
        <w:tc>
          <w:tcPr>
            <w:tcW w:type="dxa" w:w="2016"/>
            <w:vAlign w:val="center"/>
            <w:shd w:fill="FFFFFF"/>
          </w:tcPr>
          <w:p>
            <w:pPr>
              <w:spacing w:after="0" w:line="269" w:lineRule="auto"/>
              <w:jc w:val="center"/>
            </w:pPr>
            <w:r>
              <w:rPr>
                <w:b w:val="0"/>
                <w:color w:val="000000"/>
                <w:sz w:val="20"/>
              </w:rPr>
              <w:t>20,000,000</w:t>
            </w:r>
          </w:p>
        </w:tc>
        <w:tc>
          <w:tcPr>
            <w:tcW w:type="dxa" w:w="3888"/>
            <w:vAlign w:val="center"/>
            <w:shd w:fill="FFFFFF"/>
          </w:tcPr>
          <w:p>
            <w:pPr>
              <w:spacing w:after="0" w:line="269" w:lineRule="auto"/>
            </w:pPr>
            <w:r>
              <w:rPr>
                <w:b w:val="0"/>
                <w:color w:val="000000"/>
                <w:sz w:val="20"/>
              </w:rPr>
              <w:t>多签批准预算与用途；不计作已到账现金</w:t>
            </w:r>
          </w:p>
        </w:tc>
      </w:tr>
      <w:tr>
        <w:trPr>
          <w:cantSplit/>
        </w:trPr>
        <w:tc>
          <w:tcPr>
            <w:tcW w:type="dxa" w:w="2232"/>
            <w:vAlign w:val="center"/>
            <w:shd w:fill="F0F4F7"/>
          </w:tcPr>
          <w:p>
            <w:pPr>
              <w:spacing w:after="0" w:line="269" w:lineRule="auto"/>
            </w:pPr>
            <w:r>
              <w:rPr>
                <w:b w:val="0"/>
                <w:color w:val="000000"/>
                <w:sz w:val="20"/>
              </w:rPr>
              <w:t>团队与核心贡献者</w:t>
            </w:r>
          </w:p>
        </w:tc>
        <w:tc>
          <w:tcPr>
            <w:tcW w:type="dxa" w:w="1800"/>
            <w:vAlign w:val="center"/>
            <w:shd w:fill="F0F4F7"/>
          </w:tcPr>
          <w:p>
            <w:pPr>
              <w:spacing w:after="0" w:line="269" w:lineRule="auto"/>
              <w:jc w:val="center"/>
            </w:pPr>
            <w:r>
              <w:rPr>
                <w:b w:val="0"/>
                <w:color w:val="000000"/>
                <w:sz w:val="20"/>
              </w:rPr>
              <w:t>15%</w:t>
            </w:r>
          </w:p>
        </w:tc>
        <w:tc>
          <w:tcPr>
            <w:tcW w:type="dxa" w:w="2016"/>
            <w:vAlign w:val="center"/>
            <w:shd w:fill="F0F4F7"/>
          </w:tcPr>
          <w:p>
            <w:pPr>
              <w:spacing w:after="0" w:line="269" w:lineRule="auto"/>
              <w:jc w:val="center"/>
            </w:pPr>
            <w:r>
              <w:rPr>
                <w:b w:val="0"/>
                <w:color w:val="000000"/>
                <w:sz w:val="20"/>
              </w:rPr>
              <w:t>15,000,000</w:t>
            </w:r>
          </w:p>
        </w:tc>
        <w:tc>
          <w:tcPr>
            <w:tcW w:type="dxa" w:w="3888"/>
            <w:vAlign w:val="center"/>
            <w:shd w:fill="F0F4F7"/>
          </w:tcPr>
          <w:p>
            <w:pPr>
              <w:spacing w:after="0" w:line="269" w:lineRule="auto"/>
            </w:pPr>
            <w:r>
              <w:rPr>
                <w:b w:val="0"/>
                <w:color w:val="000000"/>
                <w:sz w:val="20"/>
              </w:rPr>
              <w:t>12个月不释放，其后36个月线性归属</w:t>
            </w:r>
          </w:p>
        </w:tc>
      </w:tr>
      <w:tr>
        <w:trPr>
          <w:cantSplit/>
        </w:trPr>
        <w:tc>
          <w:tcPr>
            <w:tcW w:type="dxa" w:w="2232"/>
            <w:vAlign w:val="center"/>
            <w:shd w:fill="FFFFFF"/>
          </w:tcPr>
          <w:p>
            <w:pPr>
              <w:spacing w:after="0" w:line="269" w:lineRule="auto"/>
            </w:pPr>
            <w:r>
              <w:rPr>
                <w:b w:val="0"/>
                <w:color w:val="000000"/>
                <w:sz w:val="20"/>
              </w:rPr>
              <w:t>生态与真实服务合作</w:t>
            </w:r>
          </w:p>
        </w:tc>
        <w:tc>
          <w:tcPr>
            <w:tcW w:type="dxa" w:w="1800"/>
            <w:vAlign w:val="center"/>
            <w:shd w:fill="FFFFFF"/>
          </w:tcPr>
          <w:p>
            <w:pPr>
              <w:spacing w:after="0" w:line="269" w:lineRule="auto"/>
              <w:jc w:val="center"/>
            </w:pPr>
            <w:r>
              <w:rPr>
                <w:b w:val="0"/>
                <w:color w:val="000000"/>
                <w:sz w:val="20"/>
              </w:rPr>
              <w:t>10%</w:t>
            </w:r>
          </w:p>
        </w:tc>
        <w:tc>
          <w:tcPr>
            <w:tcW w:type="dxa" w:w="2016"/>
            <w:vAlign w:val="center"/>
            <w:shd w:fill="FFFFFF"/>
          </w:tcPr>
          <w:p>
            <w:pPr>
              <w:spacing w:after="0" w:line="269" w:lineRule="auto"/>
              <w:jc w:val="center"/>
            </w:pPr>
            <w:r>
              <w:rPr>
                <w:b w:val="0"/>
                <w:color w:val="000000"/>
                <w:sz w:val="20"/>
              </w:rPr>
              <w:t>10,000,000</w:t>
            </w:r>
          </w:p>
        </w:tc>
        <w:tc>
          <w:tcPr>
            <w:tcW w:type="dxa" w:w="3888"/>
            <w:vAlign w:val="center"/>
            <w:shd w:fill="FFFFFF"/>
          </w:tcPr>
          <w:p>
            <w:pPr>
              <w:spacing w:after="0" w:line="269" w:lineRule="auto"/>
            </w:pPr>
            <w:r>
              <w:rPr>
                <w:b w:val="0"/>
                <w:color w:val="000000"/>
                <w:sz w:val="20"/>
              </w:rPr>
              <w:t>实际签约、可核验服务和里程碑履约后分批释放</w:t>
            </w:r>
          </w:p>
        </w:tc>
      </w:tr>
      <w:tr>
        <w:trPr>
          <w:cantSplit/>
        </w:trPr>
        <w:tc>
          <w:tcPr>
            <w:tcW w:type="dxa" w:w="2232"/>
            <w:vAlign w:val="center"/>
            <w:shd w:fill="F0F4F7"/>
          </w:tcPr>
          <w:p>
            <w:pPr>
              <w:spacing w:after="0" w:line="269" w:lineRule="auto"/>
            </w:pPr>
            <w:r>
              <w:rPr>
                <w:b w:val="0"/>
                <w:color w:val="000000"/>
                <w:sz w:val="20"/>
              </w:rPr>
              <w:t>条件性市场流动性储备</w:t>
            </w:r>
          </w:p>
        </w:tc>
        <w:tc>
          <w:tcPr>
            <w:tcW w:type="dxa" w:w="1800"/>
            <w:vAlign w:val="center"/>
            <w:shd w:fill="F0F4F7"/>
          </w:tcPr>
          <w:p>
            <w:pPr>
              <w:spacing w:after="0" w:line="269" w:lineRule="auto"/>
              <w:jc w:val="center"/>
            </w:pPr>
            <w:r>
              <w:rPr>
                <w:b w:val="0"/>
                <w:color w:val="000000"/>
                <w:sz w:val="20"/>
              </w:rPr>
              <w:t>5%</w:t>
            </w:r>
          </w:p>
        </w:tc>
        <w:tc>
          <w:tcPr>
            <w:tcW w:type="dxa" w:w="2016"/>
            <w:vAlign w:val="center"/>
            <w:shd w:fill="F0F4F7"/>
          </w:tcPr>
          <w:p>
            <w:pPr>
              <w:spacing w:after="0" w:line="269" w:lineRule="auto"/>
              <w:jc w:val="center"/>
            </w:pPr>
            <w:r>
              <w:rPr>
                <w:b w:val="0"/>
                <w:color w:val="000000"/>
                <w:sz w:val="20"/>
              </w:rPr>
              <w:t>5,000,000</w:t>
            </w:r>
          </w:p>
        </w:tc>
        <w:tc>
          <w:tcPr>
            <w:tcW w:type="dxa" w:w="3888"/>
            <w:vAlign w:val="center"/>
            <w:shd w:fill="F0F4F7"/>
          </w:tcPr>
          <w:p>
            <w:pPr>
              <w:spacing w:after="0" w:line="269" w:lineRule="auto"/>
            </w:pPr>
            <w:r>
              <w:rPr>
                <w:b w:val="0"/>
                <w:color w:val="000000"/>
                <w:sz w:val="20"/>
              </w:rPr>
              <w:t>T05条件满足前保持受限；不承诺上市或保价</w:t>
            </w:r>
          </w:p>
        </w:tc>
      </w:tr>
      <w:tr>
        <w:trPr>
          <w:cantSplit/>
        </w:trPr>
        <w:tc>
          <w:tcPr>
            <w:tcW w:type="dxa" w:w="2232"/>
            <w:vAlign w:val="center"/>
            <w:shd w:fill="FFFFFF"/>
          </w:tcPr>
          <w:p>
            <w:pPr>
              <w:spacing w:after="0" w:line="269" w:lineRule="auto"/>
            </w:pPr>
            <w:r>
              <w:rPr>
                <w:b w:val="0"/>
                <w:color w:val="000000"/>
                <w:sz w:val="20"/>
              </w:rPr>
              <w:t>安全、审计与应急储备</w:t>
            </w:r>
          </w:p>
        </w:tc>
        <w:tc>
          <w:tcPr>
            <w:tcW w:type="dxa" w:w="1800"/>
            <w:vAlign w:val="center"/>
            <w:shd w:fill="FFFFFF"/>
          </w:tcPr>
          <w:p>
            <w:pPr>
              <w:spacing w:after="0" w:line="269" w:lineRule="auto"/>
              <w:jc w:val="center"/>
            </w:pPr>
            <w:r>
              <w:rPr>
                <w:b w:val="0"/>
                <w:color w:val="000000"/>
                <w:sz w:val="20"/>
              </w:rPr>
              <w:t>5%</w:t>
            </w:r>
          </w:p>
        </w:tc>
        <w:tc>
          <w:tcPr>
            <w:tcW w:type="dxa" w:w="2016"/>
            <w:vAlign w:val="center"/>
            <w:shd w:fill="FFFFFF"/>
          </w:tcPr>
          <w:p>
            <w:pPr>
              <w:spacing w:after="0" w:line="269" w:lineRule="auto"/>
              <w:jc w:val="center"/>
            </w:pPr>
            <w:r>
              <w:rPr>
                <w:b w:val="0"/>
                <w:color w:val="000000"/>
                <w:sz w:val="20"/>
              </w:rPr>
              <w:t>5,000,000</w:t>
            </w:r>
          </w:p>
        </w:tc>
        <w:tc>
          <w:tcPr>
            <w:tcW w:type="dxa" w:w="3888"/>
            <w:vAlign w:val="center"/>
            <w:shd w:fill="FFFFFF"/>
          </w:tcPr>
          <w:p>
            <w:pPr>
              <w:spacing w:after="0" w:line="269" w:lineRule="auto"/>
            </w:pPr>
            <w:r>
              <w:rPr>
                <w:b w:val="0"/>
                <w:color w:val="000000"/>
                <w:sz w:val="20"/>
              </w:rPr>
              <w:t>独立批准用途；审计与应急仍须准备现金</w:t>
            </w:r>
          </w:p>
        </w:tc>
      </w:tr>
      <w:tr>
        <w:trPr>
          <w:cantSplit/>
        </w:trPr>
        <w:tc>
          <w:tcPr>
            <w:tcW w:type="dxa" w:w="2232"/>
            <w:vAlign w:val="center"/>
            <w:shd w:fill="F0F4F7"/>
          </w:tcPr>
          <w:p>
            <w:pPr>
              <w:spacing w:after="0" w:line="269" w:lineRule="auto"/>
            </w:pPr>
            <w:r>
              <w:rPr>
                <w:b w:val="0"/>
                <w:color w:val="000000"/>
                <w:sz w:val="20"/>
              </w:rPr>
              <w:t>合计</w:t>
            </w:r>
          </w:p>
        </w:tc>
        <w:tc>
          <w:tcPr>
            <w:tcW w:type="dxa" w:w="1800"/>
            <w:vAlign w:val="center"/>
            <w:shd w:fill="F0F4F7"/>
          </w:tcPr>
          <w:p>
            <w:pPr>
              <w:spacing w:after="0" w:line="269" w:lineRule="auto"/>
              <w:jc w:val="center"/>
            </w:pPr>
            <w:r>
              <w:rPr>
                <w:b w:val="0"/>
                <w:color w:val="000000"/>
                <w:sz w:val="20"/>
              </w:rPr>
            </w:r>
            <w:r>
              <w:rPr>
                <w:b w:val="0"/>
                <w:color w:val="000000"/>
                <w:sz w:val="20"/>
              </w:rPr>
              <w:t>100%</w:t>
            </w:r>
            <w:r>
              <w:rPr>
                <w:b w:val="0"/>
                <w:color w:val="000000"/>
                <w:sz w:val="20"/>
              </w:rPr>
            </w:r>
          </w:p>
        </w:tc>
        <w:tc>
          <w:tcPr>
            <w:tcW w:type="dxa" w:w="2016"/>
            <w:vAlign w:val="center"/>
            <w:shd w:fill="F0F4F7"/>
          </w:tcPr>
          <w:p>
            <w:pPr>
              <w:spacing w:after="0" w:line="269" w:lineRule="auto"/>
            </w:pPr>
            <w:r>
              <w:rPr>
                <w:b w:val="0"/>
                <w:color w:val="000000"/>
                <w:sz w:val="20"/>
              </w:rPr>
            </w:r>
            <w:r>
              <w:rPr>
                <w:b w:val="0"/>
                <w:color w:val="000000"/>
                <w:sz w:val="20"/>
              </w:rPr>
              <w:t>100,000,000</w:t>
            </w:r>
            <w:r>
              <w:rPr>
                <w:b w:val="0"/>
                <w:color w:val="000000"/>
                <w:sz w:val="20"/>
              </w:rPr>
            </w:r>
          </w:p>
        </w:tc>
        <w:tc>
          <w:tcPr>
            <w:tcW w:type="dxa" w:w="3888"/>
            <w:vAlign w:val="center"/>
            <w:shd w:fill="F0F4F7"/>
          </w:tcPr>
          <w:p>
            <w:pPr>
              <w:spacing w:after="0" w:line="269" w:lineRule="auto"/>
              <w:jc w:val="center"/>
            </w:pPr>
            <w:r>
              <w:rPr>
                <w:b w:val="0"/>
                <w:color w:val="000000"/>
                <w:sz w:val="20"/>
              </w:rPr>
              <w:t>无隐藏份额，无未披露增发额度</w:t>
            </w:r>
          </w:p>
        </w:tc>
      </w:tr>
    </w:tbl>
    <w:p>
      <w:pPr>
        <w:spacing w:after="40"/>
      </w:pPr>
    </w:p>
    <w:p>
      <w:r>
        <w:t>45%的奖励池旨在使参与者获得主要分配来源，但不证明这一比例最优。20%的国库和10%的生态池也不能视作可随时抛售的收入。应分别公布受限地址、已承诺支出、实际转出和剩余额度，让用户看得见潜在供给。</w:t>
      </w:r>
    </w:p>
    <w:p>
      <w:r>
        <w:t>团队15%的经济条款示例为：从明确的归属起点起，前12个月累计可领取量为零，其后36个月线性增加，至第48个月完成。第12个月边界不补发过去12个月的份额；第24个月时累计归属500万单位。退出、未履约和未归属部分的处理须事先写入协议，不能由管理者事后任意改变。</w:t>
      </w:r>
    </w:p>
    <w:p>
      <w:r>
        <w:t>这些月数是归属经济条款，不是开发排期或上市倒计时。项目仍按依赖及验收条件推进；审查未通过时，不因为归属日历到点而自动启动发行。</w:t>
      </w:r>
    </w:p>
    <w:p>
      <w:pPr>
        <w:pStyle w:val="Heading1"/>
      </w:pPr>
      <w:r>
        <w:t>五 铸造释放与销毁机制</w:t>
      </w:r>
    </w:p>
    <w:p>
      <w:pPr>
        <w:pStyle w:val="Heading2"/>
      </w:pPr>
      <w:r>
        <w:t>创世一次铸造及奖励库存释放</w:t>
      </w:r>
    </w:p>
    <w:p>
      <w:r>
        <w:t>候选设计是在创世交易中把一亿单位一次性铸造至分配合约或受限地址，此后没有可调用的增发接口、增发角色或可恢复增发的升级路径。训练奖励领取仅将已铸造库存转给用户，不因多走一步再创造一单位代币。</w:t>
      </w:r>
    </w:p>
    <w:p>
      <w:r>
        <w:t>OpenZeppelin 的 ERC20Capped 对当前总供应设置上限；保留增发能力时，销毁后可能重新铸回上限，因此仅使用该组件不能证明“终生累计铸造量固定”。这是根据合约机制作出的技术判断。验收必须验证所有调用者在销毁之后仍不能增发，并覆盖代理升级、替换实现及部署权限。核心代币优先采用不可升级设计。</w:t>
      </w:r>
      <w:hyperlink r:id="rId18">
        <w:r>
          <w:rPr>
            <w:color w:val="075D75"/>
          </w:rPr>
          <w:t>OpenZeppelin ERC20 文档</w:t>
        </w:r>
      </w:hyperlink>
      <w:r/>
    </w:p>
    <w:p>
      <w:r>
        <w:t>初始全部受限时，可以按明确口径报告流通量为零，但不能把此数字包装成没有未来供给压力。应分开列出累计铸造、剩余总供应、已解锁、实际投放、国库持有和流通量；可动用但暂未出售的国库份额也必须披露。</w:t>
      </w:r>
    </w:p>
    <w:p>
      <w:pPr>
        <w:pStyle w:val="Heading2"/>
      </w:pPr>
      <w:r>
        <w:t>归属合约须核对真实语义</w:t>
      </w:r>
    </w:p>
    <w:p>
      <w:r>
        <w:t>OpenZeppelin VestingWallet 对后存入资产沿用原归属起点，可能使部分资产立即可释放；其所有权可转移，也意味着不能笼统承诺经济受益权绝对不可出售。团队份额应在创世时足额入账，新增分配使用独立归属安排，并审查受益人变更、离职和继承规则。</w:t>
      </w:r>
      <w:hyperlink r:id="rId19">
        <w:r>
          <w:rPr>
            <w:color w:val="075D75"/>
          </w:rPr>
          <w:t>OpenZeppelin 归属钱包文档</w:t>
        </w:r>
      </w:hyperlink>
      <w:r/>
    </w:p>
    <w:p>
      <w:pPr>
        <w:pStyle w:val="Heading2"/>
      </w:pPr>
      <w:r>
        <w:t>销毁必须对应真实自愿消费</w:t>
      </w:r>
    </w:p>
    <w:p>
      <w:r>
        <w:t>可研究的用途是用户自愿消耗代币，换取已签约的线下活动名额、实体周边或其他可核验服务。公布具体库存、所需单位、服务有效期和退款条件；先预留履约资源，确认完成后从获授权的托管额度销毁，未履约则按规则退款。商户是否接受代币、由谁承担现金成本，必须有实际协议。</w:t>
      </w:r>
    </w:p>
    <w:p>
      <w:r>
        <w:t>Burnable 支持持有人销毁及在授权额度内的代销毁。管理员不应拥有任意销毁用户余额的能力；用户授权也应限定本次消费额度，而非默认无限授权。</w:t>
      </w:r>
      <w:hyperlink r:id="rId18">
        <w:r>
          <w:rPr>
            <w:color w:val="075D75"/>
          </w:rPr>
          <w:t>OpenZeppelin ERC20 文档</w:t>
        </w:r>
      </w:hyperlink>
      <w:r/>
    </w:p>
    <w:p>
      <w:r>
        <w:t>销毁不能用于购买更高赚钱倍率、解锁训练资格或维持提现资格。iOS内数字功能仍须遵守适用支付规则，不得把代币当作绕过付款要求的工具。没有服务消费时，销毁量可以为零；应披露这个可能性，而不是通过强制收费制造虚假销毁需求。</w:t>
      </w:r>
    </w:p>
    <w:p>
      <w:pPr>
        <w:pStyle w:val="Heading1"/>
      </w:pPr>
      <w:r>
        <w:t>六 真实效用与经营规则</w:t>
      </w:r>
    </w:p>
    <w:p>
      <w:pPr>
        <w:pStyle w:val="Heading2"/>
      </w:pPr>
      <w:r>
        <w:t>先验证用户为什么需要服务</w:t>
      </w:r>
    </w:p>
    <w:p>
      <w:r>
        <w:t>建议先以不含赚币承诺的真实服务测试需求：参与者是否愿意购买或重复使用线下活动、商品或其他健康习惯支持服务，商户是否能够稳定履约，收入能否覆盖直接成本和客服。没有合作证据的用途只列为假设，不写成已可兑换权益。</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15" w:type="dxa"/>
          <w:right w:w="115" w:type="dxa"/>
        </w:tblCellMar>
      </w:tblPr>
      <w:tblGrid>
        <w:gridCol w:w="1872"/>
        <w:gridCol w:w="3816"/>
        <w:gridCol w:w="4248"/>
      </w:tblGrid>
      <w:tr>
        <w:trPr>
          <w:cantSplit/>
          <w:tblHeader/>
        </w:trPr>
        <w:tc>
          <w:tcPr>
            <w:tcW w:type="dxa" w:w="1872"/>
            <w:vAlign w:val="center"/>
            <w:shd w:fill="193B4C"/>
          </w:tcPr>
          <w:p>
            <w:pPr>
              <w:spacing w:after="0" w:line="269" w:lineRule="auto"/>
              <w:jc w:val="center"/>
            </w:pPr>
            <w:r>
              <w:rPr>
                <w:b/>
                <w:color w:val="FFFFFF"/>
                <w:sz w:val="20"/>
              </w:rPr>
              <w:t>候选用途或收入</w:t>
            </w:r>
          </w:p>
        </w:tc>
        <w:tc>
          <w:tcPr>
            <w:tcW w:type="dxa" w:w="3816"/>
            <w:vAlign w:val="center"/>
            <w:shd w:fill="193B4C"/>
          </w:tcPr>
          <w:p>
            <w:pPr>
              <w:spacing w:after="0" w:line="269" w:lineRule="auto"/>
              <w:jc w:val="center"/>
            </w:pPr>
            <w:r>
              <w:rPr>
                <w:b/>
                <w:color w:val="FFFFFF"/>
                <w:sz w:val="20"/>
              </w:rPr>
              <w:t>必须取得的证据</w:t>
            </w:r>
          </w:p>
        </w:tc>
        <w:tc>
          <w:tcPr>
            <w:tcW w:type="dxa" w:w="4248"/>
            <w:vAlign w:val="center"/>
            <w:shd w:fill="193B4C"/>
          </w:tcPr>
          <w:p>
            <w:pPr>
              <w:spacing w:after="0" w:line="269" w:lineRule="auto"/>
              <w:jc w:val="center"/>
            </w:pPr>
            <w:r>
              <w:rPr>
                <w:b/>
                <w:color w:val="FFFFFF"/>
                <w:sz w:val="20"/>
              </w:rPr>
              <w:t>现金与代币关系</w:t>
            </w:r>
          </w:p>
        </w:tc>
      </w:tr>
      <w:tr>
        <w:trPr>
          <w:cantSplit/>
        </w:trPr>
        <w:tc>
          <w:tcPr>
            <w:tcW w:type="dxa" w:w="1872"/>
            <w:vAlign w:val="center"/>
            <w:shd w:fill="F0F4F7"/>
          </w:tcPr>
          <w:p>
            <w:pPr>
              <w:spacing w:after="0" w:line="269" w:lineRule="auto"/>
            </w:pPr>
            <w:r>
              <w:rPr>
                <w:b w:val="0"/>
                <w:color w:val="000000"/>
                <w:sz w:val="20"/>
              </w:rPr>
              <w:t>真实商品或线下服务</w:t>
            </w:r>
          </w:p>
        </w:tc>
        <w:tc>
          <w:tcPr>
            <w:tcW w:type="dxa" w:w="3816"/>
            <w:vAlign w:val="center"/>
            <w:shd w:fill="F0F4F7"/>
          </w:tcPr>
          <w:p>
            <w:pPr>
              <w:spacing w:after="0" w:line="269" w:lineRule="auto"/>
              <w:jc w:val="center"/>
            </w:pPr>
            <w:r>
              <w:rPr>
                <w:b w:val="0"/>
                <w:color w:val="000000"/>
                <w:sz w:val="20"/>
              </w:rPr>
              <w:t>合同、库存、履约及退款记录</w:t>
            </w:r>
          </w:p>
        </w:tc>
        <w:tc>
          <w:tcPr>
            <w:tcW w:type="dxa" w:w="4248"/>
            <w:vAlign w:val="center"/>
            <w:shd w:fill="F0F4F7"/>
          </w:tcPr>
          <w:p>
            <w:pPr>
              <w:spacing w:after="0" w:line="269" w:lineRule="auto"/>
            </w:pPr>
            <w:r>
              <w:rPr>
                <w:b w:val="0"/>
                <w:color w:val="000000"/>
                <w:sz w:val="20"/>
              </w:rPr>
              <w:t>代币消费不自动支付商户现金成本</w:t>
            </w:r>
          </w:p>
        </w:tc>
      </w:tr>
      <w:tr>
        <w:trPr>
          <w:cantSplit/>
        </w:trPr>
        <w:tc>
          <w:tcPr>
            <w:tcW w:type="dxa" w:w="1872"/>
            <w:vAlign w:val="center"/>
            <w:shd w:fill="FFFFFF"/>
          </w:tcPr>
          <w:p>
            <w:pPr>
              <w:spacing w:after="0" w:line="269" w:lineRule="auto"/>
            </w:pPr>
            <w:r>
              <w:rPr>
                <w:b w:val="0"/>
                <w:color w:val="000000"/>
                <w:sz w:val="20"/>
              </w:rPr>
              <w:t>自愿付费的独立服务</w:t>
            </w:r>
          </w:p>
        </w:tc>
        <w:tc>
          <w:tcPr>
            <w:tcW w:type="dxa" w:w="3816"/>
            <w:vAlign w:val="center"/>
            <w:shd w:fill="FFFFFF"/>
          </w:tcPr>
          <w:p>
            <w:pPr>
              <w:spacing w:after="0" w:line="269" w:lineRule="auto"/>
              <w:jc w:val="center"/>
            </w:pPr>
            <w:r>
              <w:rPr>
                <w:b w:val="0"/>
                <w:color w:val="000000"/>
                <w:sz w:val="20"/>
              </w:rPr>
              <w:t>无赚币预期时仍有付费与复购</w:t>
            </w:r>
          </w:p>
        </w:tc>
        <w:tc>
          <w:tcPr>
            <w:tcW w:type="dxa" w:w="4248"/>
            <w:vAlign w:val="center"/>
            <w:shd w:fill="FFFFFF"/>
          </w:tcPr>
          <w:p>
            <w:pPr>
              <w:spacing w:after="0" w:line="269" w:lineRule="auto"/>
              <w:jc w:val="center"/>
            </w:pPr>
            <w:r>
              <w:rPr>
                <w:b w:val="0"/>
                <w:color w:val="000000"/>
                <w:sz w:val="20"/>
              </w:rPr>
              <w:t>按适用平台和法律要求收款</w:t>
            </w:r>
          </w:p>
        </w:tc>
      </w:tr>
      <w:tr>
        <w:trPr>
          <w:cantSplit/>
        </w:trPr>
        <w:tc>
          <w:tcPr>
            <w:tcW w:type="dxa" w:w="1872"/>
            <w:vAlign w:val="center"/>
            <w:shd w:fill="F0F4F7"/>
          </w:tcPr>
          <w:p>
            <w:pPr>
              <w:spacing w:after="0" w:line="269" w:lineRule="auto"/>
            </w:pPr>
            <w:r>
              <w:rPr>
                <w:b w:val="0"/>
                <w:color w:val="000000"/>
                <w:sz w:val="20"/>
              </w:rPr>
              <w:t>非健康定向的赞助</w:t>
            </w:r>
          </w:p>
        </w:tc>
        <w:tc>
          <w:tcPr>
            <w:tcW w:type="dxa" w:w="3816"/>
            <w:vAlign w:val="center"/>
            <w:shd w:fill="F0F4F7"/>
          </w:tcPr>
          <w:p>
            <w:pPr>
              <w:spacing w:after="0" w:line="269" w:lineRule="auto"/>
            </w:pPr>
            <w:r>
              <w:rPr>
                <w:b w:val="0"/>
                <w:color w:val="000000"/>
                <w:sz w:val="20"/>
              </w:rPr>
              <w:t>真实合同、已收收入、广告边界验证</w:t>
            </w:r>
          </w:p>
        </w:tc>
        <w:tc>
          <w:tcPr>
            <w:tcW w:type="dxa" w:w="4248"/>
            <w:vAlign w:val="center"/>
            <w:shd w:fill="F0F4F7"/>
          </w:tcPr>
          <w:p>
            <w:pPr>
              <w:spacing w:after="0" w:line="269" w:lineRule="auto"/>
            </w:pPr>
            <w:r>
              <w:rPr>
                <w:b w:val="0"/>
                <w:color w:val="000000"/>
                <w:sz w:val="20"/>
              </w:rPr>
              <w:t>赞助收入可支持服务，广告互动不发奖励</w:t>
            </w:r>
          </w:p>
        </w:tc>
      </w:tr>
      <w:tr>
        <w:trPr>
          <w:cantSplit/>
        </w:trPr>
        <w:tc>
          <w:tcPr>
            <w:tcW w:type="dxa" w:w="1872"/>
            <w:vAlign w:val="center"/>
            <w:shd w:fill="FFFFFF"/>
          </w:tcPr>
          <w:p>
            <w:pPr>
              <w:spacing w:after="0" w:line="269" w:lineRule="auto"/>
            </w:pPr>
            <w:r>
              <w:rPr>
                <w:b w:val="0"/>
                <w:color w:val="000000"/>
                <w:sz w:val="20"/>
              </w:rPr>
              <w:t>生态合作支持</w:t>
            </w:r>
          </w:p>
        </w:tc>
        <w:tc>
          <w:tcPr>
            <w:tcW w:type="dxa" w:w="3816"/>
            <w:vAlign w:val="center"/>
            <w:shd w:fill="FFFFFF"/>
          </w:tcPr>
          <w:p>
            <w:pPr>
              <w:spacing w:after="0" w:line="269" w:lineRule="auto"/>
              <w:jc w:val="center"/>
            </w:pPr>
            <w:r>
              <w:rPr>
                <w:b w:val="0"/>
                <w:color w:val="000000"/>
                <w:sz w:val="20"/>
              </w:rPr>
              <w:t>可核验交付及独立验收</w:t>
            </w:r>
          </w:p>
        </w:tc>
        <w:tc>
          <w:tcPr>
            <w:tcW w:type="dxa" w:w="4248"/>
            <w:vAlign w:val="center"/>
            <w:shd w:fill="FFFFFF"/>
          </w:tcPr>
          <w:p>
            <w:pPr>
              <w:spacing w:after="0" w:line="269" w:lineRule="auto"/>
              <w:jc w:val="center"/>
            </w:pPr>
            <w:r>
              <w:rPr>
                <w:b w:val="0"/>
                <w:color w:val="000000"/>
                <w:sz w:val="20"/>
              </w:rPr>
              <w:t>不因挂名合作直接转出大额代币</w:t>
            </w:r>
          </w:p>
        </w:tc>
      </w:tr>
    </w:tbl>
    <w:p>
      <w:pPr>
        <w:spacing w:after="40"/>
      </w:pPr>
    </w:p>
    <w:p>
      <w:r>
        <w:t>禁止把健康记录、任务结果、钱包标识或健康衍生标签放进赞助事件。企业或赞助方不能因出资获得查看个人运动状况或以其定向营销的权利。售卖国库代币也不计为经常性客户收入，尤其不能把新参与者购币款当成旧参与者收益的主要来源。</w:t>
      </w:r>
    </w:p>
    <w:p>
      <w:pPr>
        <w:pStyle w:val="Heading2"/>
      </w:pPr>
      <w:r>
        <w:t>奖励规律参与</w:t>
      </w:r>
    </w:p>
    <w:p>
      <w:r>
        <w:t>基础参与免费，不要求买币、购买NFT、押币、拉人头或同意广告。休息不扣罚，不通过连续天数机制诱导带伤训练；心率、减重和睡眠越长不得成为奖励目标。用户身体状况、健康授权和代币活动参与应分别处理，拒绝代币功能不影响核心应用基本使用。</w:t>
      </w:r>
    </w:p>
    <w:p>
      <w:r>
        <w:t>若未来真实T2E获准，任务应按预先公布的、可达成的习惯标准设置合格次数上限。达到上限后继续运动不会无限增加奖励。不同目标的公平性需有产品和健康专业审查，不能简单认定更多步数的人应获得无限更高权重。现有积分规则不会因本提案被自动替换。</w:t>
      </w:r>
    </w:p>
    <w:p>
      <w:pPr>
        <w:pStyle w:val="Heading1"/>
      </w:pPr>
      <w:r>
        <w:t>七 可复算的供应与预算模型</w:t>
      </w:r>
    </w:p>
    <w:p>
      <w:pPr>
        <w:pStyle w:val="Heading2"/>
      </w:pPr>
      <w:r>
        <w:t>供应守恒及流通口径</w:t>
      </w:r>
    </w:p>
    <w:p>
      <w:r>
        <w:t>设S为最大累计铸造量100,000,000，M为累计实际铸造量，B为累计销毁量，T为当前总供应。创世完成后M恒定等于S，T＝M－B；销毁不会恢复铸造额度。</w:t>
      </w:r>
    </w:p>
    <w:p>
      <w:r>
        <w:t>用互斥地址及状态分类记录T＝C＋L＋U＋E：C为流通量，L为锁定归属份额，U为未投放国库或奖励库存，E为其他受限托管余额。分类方法和变更应公开；同一余额只能记入一类。释放可能增加C而不增加T，销毁降低T，二者不能混称为“净增发”。</w:t>
      </w:r>
    </w:p>
    <w:p>
      <w:r>
        <w:t>奖励池余额R下期＝R本期－实际奖励转出。销毁不补充R；回收但未销毁的代币须记入单独账户，任何再分配都要另行披露和批准，不能悄悄循环计入“新奖励”。</w:t>
      </w:r>
    </w:p>
    <w:p>
      <w:pPr>
        <w:pStyle w:val="Heading2"/>
      </w:pPr>
      <w:r>
        <w:t>周期奖励与个人上限</w:t>
      </w:r>
    </w:p>
    <w:p>
      <w:r>
        <w:t>每个周期的可分配额度Q＝min（公布的周期上限，奖励池未承诺余额，本次审批额度）。账户i的合格权重为wᵢ，按规律完成情况计算且有上限；个人获得qᵢ＝min（个人上限，向下取整〔Q×wᵢ／全部合格权重之和〕）。没有合格权重时不发放，舍入及触顶后的余额留在池中，不强行分完。</w:t>
      </w:r>
    </w:p>
    <w:p>
      <w:r>
        <w:t>实现时使用最小代币单位的整数运算，避免浮点误差。周期开始前说明资格、上限、分摊和异常处理；用户看到的待审核数量不等于已确认可领取数量。不得追溯降低已确认承诺，安全事件按事先公布的待核实及申诉规则处理。</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15" w:type="dxa"/>
          <w:right w:w="115" w:type="dxa"/>
        </w:tblCellMar>
      </w:tblPr>
      <w:tblGrid>
        <w:gridCol w:w="2232"/>
        <w:gridCol w:w="1800"/>
        <w:gridCol w:w="2016"/>
        <w:gridCol w:w="3888"/>
      </w:tblGrid>
      <w:tr>
        <w:trPr>
          <w:cantSplit/>
          <w:tblHeader/>
        </w:trPr>
        <w:tc>
          <w:tcPr>
            <w:tcW w:type="dxa" w:w="2232"/>
            <w:vAlign w:val="center"/>
            <w:shd w:fill="193B4C"/>
          </w:tcPr>
          <w:p>
            <w:pPr>
              <w:spacing w:after="0" w:line="269" w:lineRule="auto"/>
              <w:jc w:val="center"/>
            </w:pPr>
            <w:r>
              <w:rPr>
                <w:b/>
                <w:color w:val="FFFFFF"/>
                <w:sz w:val="20"/>
              </w:rPr>
              <w:t>同权合格人数</w:t>
            </w:r>
          </w:p>
        </w:tc>
        <w:tc>
          <w:tcPr>
            <w:tcW w:type="dxa" w:w="1800"/>
            <w:vAlign w:val="center"/>
            <w:shd w:fill="193B4C"/>
          </w:tcPr>
          <w:p>
            <w:pPr>
              <w:spacing w:after="0" w:line="269" w:lineRule="auto"/>
              <w:jc w:val="center"/>
            </w:pPr>
            <w:r>
              <w:rPr>
                <w:b/>
                <w:color w:val="FFFFFF"/>
                <w:sz w:val="20"/>
              </w:rPr>
              <w:t>周期预算上限</w:t>
            </w:r>
          </w:p>
        </w:tc>
        <w:tc>
          <w:tcPr>
            <w:tcW w:type="dxa" w:w="2016"/>
            <w:vAlign w:val="center"/>
            <w:shd w:fill="193B4C"/>
          </w:tcPr>
          <w:p>
            <w:pPr>
              <w:spacing w:after="0" w:line="269" w:lineRule="auto"/>
              <w:jc w:val="center"/>
            </w:pPr>
            <w:r>
              <w:rPr>
                <w:b/>
                <w:color w:val="FFFFFF"/>
                <w:sz w:val="20"/>
              </w:rPr>
              <w:t>个人上限</w:t>
            </w:r>
          </w:p>
        </w:tc>
        <w:tc>
          <w:tcPr>
            <w:tcW w:type="dxa" w:w="3888"/>
            <w:vAlign w:val="center"/>
            <w:shd w:fill="193B4C"/>
          </w:tcPr>
          <w:p>
            <w:pPr>
              <w:spacing w:after="0" w:line="269" w:lineRule="auto"/>
              <w:jc w:val="center"/>
            </w:pPr>
            <w:r>
              <w:rPr>
                <w:b/>
                <w:color w:val="FFFFFF"/>
                <w:sz w:val="20"/>
              </w:rPr>
              <w:t>示例实际分配</w:t>
            </w:r>
          </w:p>
        </w:tc>
      </w:tr>
      <w:tr>
        <w:trPr>
          <w:cantSplit/>
        </w:trPr>
        <w:tc>
          <w:tcPr>
            <w:tcW w:type="dxa" w:w="2232"/>
            <w:vAlign w:val="center"/>
            <w:shd w:fill="F0F4F7"/>
          </w:tcPr>
          <w:p>
            <w:pPr>
              <w:spacing w:after="0" w:line="269" w:lineRule="auto"/>
            </w:pPr>
            <w:r>
              <w:rPr>
                <w:b w:val="0"/>
                <w:color w:val="000000"/>
                <w:sz w:val="20"/>
              </w:rPr>
              <w:t>5,000</w:t>
            </w:r>
          </w:p>
        </w:tc>
        <w:tc>
          <w:tcPr>
            <w:tcW w:type="dxa" w:w="1800"/>
            <w:vAlign w:val="center"/>
            <w:shd w:fill="F0F4F7"/>
          </w:tcPr>
          <w:p>
            <w:pPr>
              <w:spacing w:after="0" w:line="269" w:lineRule="auto"/>
              <w:jc w:val="center"/>
            </w:pPr>
            <w:r>
              <w:rPr>
                <w:b w:val="0"/>
                <w:color w:val="000000"/>
                <w:sz w:val="20"/>
              </w:rPr>
              <w:t>300,000单位</w:t>
            </w:r>
          </w:p>
        </w:tc>
        <w:tc>
          <w:tcPr>
            <w:tcW w:type="dxa" w:w="2016"/>
            <w:vAlign w:val="center"/>
            <w:shd w:fill="F0F4F7"/>
          </w:tcPr>
          <w:p>
            <w:pPr>
              <w:spacing w:after="0" w:line="269" w:lineRule="auto"/>
              <w:jc w:val="center"/>
            </w:pPr>
            <w:r>
              <w:rPr>
                <w:b w:val="0"/>
                <w:color w:val="000000"/>
                <w:sz w:val="20"/>
              </w:rPr>
              <w:t>60单位</w:t>
            </w:r>
          </w:p>
        </w:tc>
        <w:tc>
          <w:tcPr>
            <w:tcW w:type="dxa" w:w="3888"/>
            <w:vAlign w:val="center"/>
            <w:shd w:fill="F0F4F7"/>
          </w:tcPr>
          <w:p>
            <w:pPr>
              <w:spacing w:after="0" w:line="269" w:lineRule="auto"/>
              <w:jc w:val="center"/>
            </w:pPr>
            <w:r>
              <w:rPr>
                <w:b w:val="0"/>
                <w:color w:val="000000"/>
                <w:sz w:val="20"/>
              </w:rPr>
              <w:t>每人60，合计300,000</w:t>
            </w:r>
          </w:p>
        </w:tc>
      </w:tr>
      <w:tr>
        <w:trPr>
          <w:cantSplit/>
        </w:trPr>
        <w:tc>
          <w:tcPr>
            <w:tcW w:type="dxa" w:w="2232"/>
            <w:vAlign w:val="center"/>
            <w:shd w:fill="FFFFFF"/>
          </w:tcPr>
          <w:p>
            <w:pPr>
              <w:spacing w:after="0" w:line="269" w:lineRule="auto"/>
            </w:pPr>
            <w:r>
              <w:rPr>
                <w:b w:val="0"/>
                <w:color w:val="000000"/>
                <w:sz w:val="20"/>
              </w:rPr>
              <w:t>10,000</w:t>
            </w:r>
          </w:p>
        </w:tc>
        <w:tc>
          <w:tcPr>
            <w:tcW w:type="dxa" w:w="1800"/>
            <w:vAlign w:val="center"/>
            <w:shd w:fill="FFFFFF"/>
          </w:tcPr>
          <w:p>
            <w:pPr>
              <w:spacing w:after="0" w:line="269" w:lineRule="auto"/>
              <w:jc w:val="center"/>
            </w:pPr>
            <w:r>
              <w:rPr>
                <w:b w:val="0"/>
                <w:color w:val="000000"/>
                <w:sz w:val="20"/>
              </w:rPr>
              <w:t>300,000单位</w:t>
            </w:r>
          </w:p>
        </w:tc>
        <w:tc>
          <w:tcPr>
            <w:tcW w:type="dxa" w:w="2016"/>
            <w:vAlign w:val="center"/>
            <w:shd w:fill="FFFFFF"/>
          </w:tcPr>
          <w:p>
            <w:pPr>
              <w:spacing w:after="0" w:line="269" w:lineRule="auto"/>
              <w:jc w:val="center"/>
            </w:pPr>
            <w:r>
              <w:rPr>
                <w:b w:val="0"/>
                <w:color w:val="000000"/>
                <w:sz w:val="20"/>
              </w:rPr>
              <w:t>60单位</w:t>
            </w:r>
          </w:p>
        </w:tc>
        <w:tc>
          <w:tcPr>
            <w:tcW w:type="dxa" w:w="3888"/>
            <w:vAlign w:val="center"/>
            <w:shd w:fill="FFFFFF"/>
          </w:tcPr>
          <w:p>
            <w:pPr>
              <w:spacing w:after="0" w:line="269" w:lineRule="auto"/>
              <w:jc w:val="center"/>
            </w:pPr>
            <w:r>
              <w:rPr>
                <w:b w:val="0"/>
                <w:color w:val="000000"/>
                <w:sz w:val="20"/>
              </w:rPr>
              <w:t>每人30，合计300,000</w:t>
            </w:r>
          </w:p>
        </w:tc>
      </w:tr>
      <w:tr>
        <w:trPr>
          <w:cantSplit/>
        </w:trPr>
        <w:tc>
          <w:tcPr>
            <w:tcW w:type="dxa" w:w="2232"/>
            <w:vAlign w:val="center"/>
            <w:shd w:fill="F0F4F7"/>
          </w:tcPr>
          <w:p>
            <w:pPr>
              <w:spacing w:after="0" w:line="269" w:lineRule="auto"/>
            </w:pPr>
            <w:r>
              <w:rPr>
                <w:b w:val="0"/>
                <w:color w:val="000000"/>
                <w:sz w:val="20"/>
              </w:rPr>
              <w:t>20,000</w:t>
            </w:r>
          </w:p>
        </w:tc>
        <w:tc>
          <w:tcPr>
            <w:tcW w:type="dxa" w:w="1800"/>
            <w:vAlign w:val="center"/>
            <w:shd w:fill="F0F4F7"/>
          </w:tcPr>
          <w:p>
            <w:pPr>
              <w:spacing w:after="0" w:line="269" w:lineRule="auto"/>
              <w:jc w:val="center"/>
            </w:pPr>
            <w:r>
              <w:rPr>
                <w:b w:val="0"/>
                <w:color w:val="000000"/>
                <w:sz w:val="20"/>
              </w:rPr>
              <w:t>300,000单位</w:t>
            </w:r>
          </w:p>
        </w:tc>
        <w:tc>
          <w:tcPr>
            <w:tcW w:type="dxa" w:w="2016"/>
            <w:vAlign w:val="center"/>
            <w:shd w:fill="F0F4F7"/>
          </w:tcPr>
          <w:p>
            <w:pPr>
              <w:spacing w:after="0" w:line="269" w:lineRule="auto"/>
              <w:jc w:val="center"/>
            </w:pPr>
            <w:r>
              <w:rPr>
                <w:b w:val="0"/>
                <w:color w:val="000000"/>
                <w:sz w:val="20"/>
              </w:rPr>
              <w:t>60单位</w:t>
            </w:r>
          </w:p>
        </w:tc>
        <w:tc>
          <w:tcPr>
            <w:tcW w:type="dxa" w:w="3888"/>
            <w:vAlign w:val="center"/>
            <w:shd w:fill="F0F4F7"/>
          </w:tcPr>
          <w:p>
            <w:pPr>
              <w:spacing w:after="0" w:line="269" w:lineRule="auto"/>
              <w:jc w:val="center"/>
            </w:pPr>
            <w:r>
              <w:rPr>
                <w:b w:val="0"/>
                <w:color w:val="000000"/>
                <w:sz w:val="20"/>
              </w:rPr>
              <w:t>每人15，合计300,000</w:t>
            </w:r>
          </w:p>
        </w:tc>
      </w:tr>
    </w:tbl>
    <w:p>
      <w:pPr>
        <w:spacing w:after="40"/>
      </w:pPr>
    </w:p>
    <w:p>
      <w:r>
        <w:t>示例周期取一个月，仅用于预算计算。45,000,000÷300,000＝150个月是固定消耗速度下的库存算术，不是经营寿命、固定发放期或收益保证。实际人数、预算和合格权重会变化，未用额度不构成对个人的债务。</w:t>
      </w:r>
    </w:p>
    <w:p>
      <w:pPr>
        <w:pStyle w:val="Heading2"/>
      </w:pPr>
      <w:r>
        <w:t>福利现金与代币数量分开</w:t>
      </w:r>
    </w:p>
    <w:p>
      <w:r>
        <w:t>建议现金福利上限H＝min（批准现金上限，max〔0，20%×实际贡献毛利〕，max〔0，可用现金－6×固定月度运营成本－已承诺负债〕）。贡献毛利指已收到的服务收入扣除直接履约成本，不包括售币；可用现金不包括自家代币市值。20%和六个月储备仅为待验证参数。</w:t>
      </w:r>
    </w:p>
    <w:p>
      <w:r>
        <w:t>例如可用现金500,000港元、固定月度运营成本50,000港元、实际贡献毛利100,000港元、批准上限20,000港元且无额外负债，则储备扣除后余200,000港元，毛利约束为20,000港元，H最多20,000港元。若新增190,000港元已承诺负债，H降至10,000港元。</w:t>
      </w:r>
    </w:p>
    <w:p>
      <w:r>
        <w:t>这一公式控制经营承受能力，不提供任何港元兑币汇率。具体福利在承诺前必须落实库存和现金，已承诺义务不得因币价下跌而被随意撤销。工资、审计、法务、客服、税务和交易费用另列预算，不以代币储备余额代替支付能力。</w:t>
      </w:r>
    </w:p>
    <w:p>
      <w:pPr>
        <w:pStyle w:val="Heading1"/>
      </w:pPr>
      <w:r>
        <w:t>八 压力测试与价值维护的实际含义</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15" w:type="dxa"/>
          <w:right w:w="115" w:type="dxa"/>
        </w:tblCellMar>
      </w:tblPr>
      <w:tblGrid>
        <w:gridCol w:w="1872"/>
        <w:gridCol w:w="3816"/>
        <w:gridCol w:w="4248"/>
      </w:tblGrid>
      <w:tr>
        <w:trPr>
          <w:cantSplit/>
          <w:tblHeader/>
        </w:trPr>
        <w:tc>
          <w:tcPr>
            <w:tcW w:type="dxa" w:w="1872"/>
            <w:vAlign w:val="center"/>
            <w:shd w:fill="193B4C"/>
          </w:tcPr>
          <w:p>
            <w:pPr>
              <w:spacing w:after="0" w:line="269" w:lineRule="auto"/>
              <w:jc w:val="center"/>
            </w:pPr>
            <w:r>
              <w:rPr>
                <w:b/>
                <w:color w:val="FFFFFF"/>
                <w:sz w:val="20"/>
              </w:rPr>
              <w:t>情境</w:t>
            </w:r>
          </w:p>
        </w:tc>
        <w:tc>
          <w:tcPr>
            <w:tcW w:type="dxa" w:w="3816"/>
            <w:vAlign w:val="center"/>
            <w:shd w:fill="193B4C"/>
          </w:tcPr>
          <w:p>
            <w:pPr>
              <w:spacing w:after="0" w:line="269" w:lineRule="auto"/>
              <w:jc w:val="center"/>
            </w:pPr>
            <w:r>
              <w:rPr>
                <w:b/>
                <w:color w:val="FFFFFF"/>
                <w:sz w:val="20"/>
              </w:rPr>
              <w:t>对示例模型的影响</w:t>
            </w:r>
          </w:p>
        </w:tc>
        <w:tc>
          <w:tcPr>
            <w:tcW w:type="dxa" w:w="4248"/>
            <w:vAlign w:val="center"/>
            <w:shd w:fill="193B4C"/>
          </w:tcPr>
          <w:p>
            <w:pPr>
              <w:spacing w:after="0" w:line="269" w:lineRule="auto"/>
              <w:jc w:val="center"/>
            </w:pPr>
            <w:r>
              <w:rPr>
                <w:b/>
                <w:color w:val="FFFFFF"/>
                <w:sz w:val="20"/>
              </w:rPr>
              <w:t>预先确定的处理</w:t>
            </w:r>
          </w:p>
        </w:tc>
      </w:tr>
      <w:tr>
        <w:trPr>
          <w:cantSplit/>
        </w:trPr>
        <w:tc>
          <w:tcPr>
            <w:tcW w:type="dxa" w:w="1872"/>
            <w:vAlign w:val="center"/>
            <w:shd w:fill="F0F4F7"/>
          </w:tcPr>
          <w:p>
            <w:pPr>
              <w:spacing w:after="0" w:line="269" w:lineRule="auto"/>
            </w:pPr>
            <w:r>
              <w:rPr>
                <w:b w:val="0"/>
                <w:color w:val="000000"/>
                <w:sz w:val="20"/>
              </w:rPr>
              <w:t>合格人数由一万增至两万</w:t>
            </w:r>
          </w:p>
        </w:tc>
        <w:tc>
          <w:tcPr>
            <w:tcW w:type="dxa" w:w="3816"/>
            <w:vAlign w:val="center"/>
            <w:shd w:fill="F0F4F7"/>
          </w:tcPr>
          <w:p>
            <w:pPr>
              <w:spacing w:after="0" w:line="269" w:lineRule="auto"/>
            </w:pPr>
            <w:r>
              <w:rPr>
                <w:b w:val="0"/>
                <w:color w:val="000000"/>
                <w:sz w:val="20"/>
              </w:rPr>
              <w:t>同权人均30降至15，周期总额不增加</w:t>
            </w:r>
          </w:p>
        </w:tc>
        <w:tc>
          <w:tcPr>
            <w:tcW w:type="dxa" w:w="4248"/>
            <w:vAlign w:val="center"/>
            <w:shd w:fill="F0F4F7"/>
          </w:tcPr>
          <w:p>
            <w:pPr>
              <w:spacing w:after="0" w:line="269" w:lineRule="auto"/>
            </w:pPr>
            <w:r>
              <w:rPr>
                <w:b w:val="0"/>
                <w:color w:val="000000"/>
                <w:sz w:val="20"/>
              </w:rPr>
              <w:t>提前解释预算分摊，不承诺固定工资</w:t>
            </w:r>
          </w:p>
        </w:tc>
      </w:tr>
      <w:tr>
        <w:trPr>
          <w:cantSplit/>
        </w:trPr>
        <w:tc>
          <w:tcPr>
            <w:tcW w:type="dxa" w:w="1872"/>
            <w:vAlign w:val="center"/>
            <w:shd w:fill="FFFFFF"/>
          </w:tcPr>
          <w:p>
            <w:pPr>
              <w:spacing w:after="0" w:line="269" w:lineRule="auto"/>
            </w:pPr>
            <w:r>
              <w:rPr>
                <w:b w:val="0"/>
                <w:color w:val="000000"/>
                <w:sz w:val="20"/>
              </w:rPr>
              <w:t>30%领取者欺诈漏检</w:t>
            </w:r>
          </w:p>
        </w:tc>
        <w:tc>
          <w:tcPr>
            <w:tcW w:type="dxa" w:w="3816"/>
            <w:vAlign w:val="center"/>
            <w:shd w:fill="FFFFFF"/>
          </w:tcPr>
          <w:p>
            <w:pPr>
              <w:spacing w:after="0" w:line="269" w:lineRule="auto"/>
            </w:pPr>
            <w:r>
              <w:rPr>
                <w:b w:val="0"/>
                <w:color w:val="000000"/>
                <w:sz w:val="20"/>
              </w:rPr>
              <w:t>一万名同权领取者中90,000单位可能流向欺诈者</w:t>
            </w:r>
          </w:p>
        </w:tc>
        <w:tc>
          <w:tcPr>
            <w:tcW w:type="dxa" w:w="4248"/>
            <w:vAlign w:val="center"/>
            <w:shd w:fill="FFFFFF"/>
          </w:tcPr>
          <w:p>
            <w:pPr>
              <w:spacing w:after="0" w:line="269" w:lineRule="auto"/>
            </w:pPr>
            <w:r>
              <w:rPr>
                <w:b w:val="0"/>
                <w:color w:val="000000"/>
                <w:sz w:val="20"/>
              </w:rPr>
              <w:t>异常先待审；示例净欺诈损失超过2%即暂停新周期扩张</w:t>
            </w:r>
          </w:p>
        </w:tc>
      </w:tr>
      <w:tr>
        <w:trPr>
          <w:cantSplit/>
        </w:trPr>
        <w:tc>
          <w:tcPr>
            <w:tcW w:type="dxa" w:w="1872"/>
            <w:vAlign w:val="center"/>
            <w:shd w:fill="F0F4F7"/>
          </w:tcPr>
          <w:p>
            <w:pPr>
              <w:spacing w:after="0" w:line="269" w:lineRule="auto"/>
            </w:pPr>
            <w:r>
              <w:rPr>
                <w:b w:val="0"/>
                <w:color w:val="000000"/>
                <w:sz w:val="20"/>
              </w:rPr>
              <w:t>市场参考价格下跌50%或80%</w:t>
            </w:r>
          </w:p>
        </w:tc>
        <w:tc>
          <w:tcPr>
            <w:tcW w:type="dxa" w:w="3816"/>
            <w:vAlign w:val="center"/>
            <w:shd w:fill="F0F4F7"/>
          </w:tcPr>
          <w:p>
            <w:pPr>
              <w:spacing w:after="0" w:line="269" w:lineRule="auto"/>
            </w:pPr>
            <w:r>
              <w:rPr>
                <w:b w:val="0"/>
                <w:color w:val="000000"/>
                <w:sz w:val="20"/>
              </w:rPr>
              <w:t>固定单位奖励的参考市值同比下降</w:t>
            </w:r>
          </w:p>
        </w:tc>
        <w:tc>
          <w:tcPr>
            <w:tcW w:type="dxa" w:w="4248"/>
            <w:vAlign w:val="center"/>
            <w:shd w:fill="F0F4F7"/>
          </w:tcPr>
          <w:p>
            <w:pPr>
              <w:spacing w:after="0" w:line="269" w:lineRule="auto"/>
            </w:pPr>
            <w:r>
              <w:rPr>
                <w:b w:val="0"/>
                <w:color w:val="000000"/>
                <w:sz w:val="20"/>
              </w:rPr>
              <w:t>不加倍或加五倍发行，不挪用运营现金托价</w:t>
            </w:r>
          </w:p>
        </w:tc>
      </w:tr>
      <w:tr>
        <w:trPr>
          <w:cantSplit/>
        </w:trPr>
        <w:tc>
          <w:tcPr>
            <w:tcW w:type="dxa" w:w="1872"/>
            <w:vAlign w:val="center"/>
            <w:shd w:fill="FFFFFF"/>
          </w:tcPr>
          <w:p>
            <w:pPr>
              <w:spacing w:after="0" w:line="269" w:lineRule="auto"/>
            </w:pPr>
            <w:r>
              <w:rPr>
                <w:b w:val="0"/>
                <w:color w:val="000000"/>
                <w:sz w:val="20"/>
              </w:rPr>
              <w:t>已收贡献毛利下降50%</w:t>
            </w:r>
          </w:p>
        </w:tc>
        <w:tc>
          <w:tcPr>
            <w:tcW w:type="dxa" w:w="3816"/>
            <w:vAlign w:val="center"/>
            <w:shd w:fill="FFFFFF"/>
          </w:tcPr>
          <w:p>
            <w:pPr>
              <w:spacing w:after="0" w:line="269" w:lineRule="auto"/>
            </w:pPr>
            <w:r>
              <w:rPr>
                <w:b w:val="0"/>
                <w:color w:val="000000"/>
                <w:sz w:val="20"/>
              </w:rPr>
              <w:t>其他条件不变，现金福利上限20,000降至10,000港元</w:t>
            </w:r>
          </w:p>
        </w:tc>
        <w:tc>
          <w:tcPr>
            <w:tcW w:type="dxa" w:w="4248"/>
            <w:vAlign w:val="center"/>
            <w:shd w:fill="FFFFFF"/>
          </w:tcPr>
          <w:p>
            <w:pPr>
              <w:spacing w:after="0" w:line="269" w:lineRule="auto"/>
            </w:pPr>
            <w:r>
              <w:rPr>
                <w:b w:val="0"/>
                <w:color w:val="000000"/>
                <w:sz w:val="20"/>
              </w:rPr>
              <w:t>调整未来未承诺福利，保留现有履约准备金</w:t>
            </w:r>
          </w:p>
        </w:tc>
      </w:tr>
      <w:tr>
        <w:trPr>
          <w:cantSplit/>
        </w:trPr>
        <w:tc>
          <w:tcPr>
            <w:tcW w:type="dxa" w:w="1872"/>
            <w:vAlign w:val="center"/>
            <w:shd w:fill="F0F4F7"/>
          </w:tcPr>
          <w:p>
            <w:pPr>
              <w:spacing w:after="0" w:line="269" w:lineRule="auto"/>
            </w:pPr>
            <w:r>
              <w:rPr>
                <w:b w:val="0"/>
                <w:color w:val="000000"/>
                <w:sz w:val="20"/>
              </w:rPr>
              <w:t>商户需求或赞助消失</w:t>
            </w:r>
          </w:p>
        </w:tc>
        <w:tc>
          <w:tcPr>
            <w:tcW w:type="dxa" w:w="3816"/>
            <w:vAlign w:val="center"/>
            <w:shd w:fill="F0F4F7"/>
          </w:tcPr>
          <w:p>
            <w:pPr>
              <w:spacing w:after="0" w:line="269" w:lineRule="auto"/>
            </w:pPr>
            <w:r>
              <w:rPr>
                <w:b w:val="0"/>
                <w:color w:val="000000"/>
                <w:sz w:val="20"/>
              </w:rPr>
              <w:t>销毁可能为零，新增补贴可能为零</w:t>
            </w:r>
          </w:p>
        </w:tc>
        <w:tc>
          <w:tcPr>
            <w:tcW w:type="dxa" w:w="4248"/>
            <w:vAlign w:val="center"/>
            <w:shd w:fill="F0F4F7"/>
          </w:tcPr>
          <w:p>
            <w:pPr>
              <w:spacing w:after="0" w:line="269" w:lineRule="auto"/>
            </w:pPr>
            <w:r>
              <w:rPr>
                <w:b w:val="0"/>
                <w:color w:val="000000"/>
                <w:sz w:val="20"/>
              </w:rPr>
              <w:t>停止新增补贴承诺，保留可持续的核心积分服务</w:t>
            </w:r>
          </w:p>
        </w:tc>
      </w:tr>
      <w:tr>
        <w:trPr>
          <w:cantSplit/>
        </w:trPr>
        <w:tc>
          <w:tcPr>
            <w:tcW w:type="dxa" w:w="1872"/>
            <w:vAlign w:val="center"/>
            <w:shd w:fill="FFFFFF"/>
          </w:tcPr>
          <w:p>
            <w:pPr>
              <w:spacing w:after="0" w:line="269" w:lineRule="auto"/>
            </w:pPr>
            <w:r>
              <w:rPr>
                <w:b w:val="0"/>
                <w:color w:val="000000"/>
                <w:sz w:val="20"/>
              </w:rPr>
              <w:t>交易费用升至五倍</w:t>
            </w:r>
          </w:p>
        </w:tc>
        <w:tc>
          <w:tcPr>
            <w:tcW w:type="dxa" w:w="3816"/>
            <w:vAlign w:val="center"/>
            <w:shd w:fill="FFFFFF"/>
          </w:tcPr>
          <w:p>
            <w:pPr>
              <w:spacing w:after="0" w:line="269" w:lineRule="auto"/>
            </w:pPr>
            <w:r>
              <w:rPr>
                <w:b w:val="0"/>
                <w:color w:val="000000"/>
                <w:sz w:val="20"/>
              </w:rPr>
              <w:t>原有费用预算可能无法覆盖领取量</w:t>
            </w:r>
          </w:p>
        </w:tc>
        <w:tc>
          <w:tcPr>
            <w:tcW w:type="dxa" w:w="4248"/>
            <w:vAlign w:val="center"/>
            <w:shd w:fill="FFFFFF"/>
          </w:tcPr>
          <w:p>
            <w:pPr>
              <w:spacing w:after="0" w:line="269" w:lineRule="auto"/>
            </w:pPr>
            <w:r>
              <w:rPr>
                <w:b w:val="0"/>
                <w:color w:val="000000"/>
                <w:sz w:val="20"/>
              </w:rPr>
              <w:t>费用另设上限，提供已披露的合批或等待机制</w:t>
            </w:r>
          </w:p>
        </w:tc>
      </w:tr>
      <w:tr>
        <w:trPr>
          <w:cantSplit/>
        </w:trPr>
        <w:tc>
          <w:tcPr>
            <w:tcW w:type="dxa" w:w="1872"/>
            <w:vAlign w:val="center"/>
            <w:shd w:fill="F0F4F7"/>
          </w:tcPr>
          <w:p>
            <w:pPr>
              <w:spacing w:after="0" w:line="269" w:lineRule="auto"/>
            </w:pPr>
            <w:r>
              <w:rPr>
                <w:b w:val="0"/>
                <w:color w:val="000000"/>
                <w:sz w:val="20"/>
              </w:rPr>
              <w:t>签名器、数据源或服务异常</w:t>
            </w:r>
          </w:p>
        </w:tc>
        <w:tc>
          <w:tcPr>
            <w:tcW w:type="dxa" w:w="3816"/>
            <w:vAlign w:val="center"/>
            <w:shd w:fill="F0F4F7"/>
          </w:tcPr>
          <w:p>
            <w:pPr>
              <w:spacing w:after="0" w:line="269" w:lineRule="auto"/>
              <w:jc w:val="center"/>
            </w:pPr>
            <w:r>
              <w:rPr>
                <w:b w:val="0"/>
                <w:color w:val="000000"/>
                <w:sz w:val="20"/>
              </w:rPr>
              <w:t>新领取真实性暂不可确认</w:t>
            </w:r>
          </w:p>
        </w:tc>
        <w:tc>
          <w:tcPr>
            <w:tcW w:type="dxa" w:w="4248"/>
            <w:vAlign w:val="center"/>
            <w:shd w:fill="F0F4F7"/>
          </w:tcPr>
          <w:p>
            <w:pPr>
              <w:spacing w:after="0" w:line="269" w:lineRule="auto"/>
            </w:pPr>
            <w:r>
              <w:rPr>
                <w:b w:val="0"/>
                <w:color w:val="000000"/>
                <w:sz w:val="20"/>
              </w:rPr>
              <w:t>暂停新增领取、保留申诉及恢复证据，避免重复支付</w:t>
            </w:r>
          </w:p>
        </w:tc>
      </w:tr>
    </w:tbl>
    <w:p>
      <w:pPr>
        <w:spacing w:after="40"/>
      </w:pPr>
    </w:p>
    <w:p>
      <w:r>
        <w:t>欺诈阈值须定义分母、观察周期和证据标准。上述2%是说明值，不是已建立的风险容忍度；待审不等于认定作弊。模型还应同时压测收入减少、欺诈增加与价格下跌，不能只测单一有利情景。</w:t>
      </w:r>
    </w:p>
    <w:p>
      <w:r>
        <w:t>“维护价值”在可控范围内意味着履约可信、供给透明、支出有约束和服务有需求；市场价格由外部交易决定，项目不能保证价格下限、流动性或退出能力。锁仓与销毁都可能减少可售数量，但不足以证明需求增加，更不保证持有人获利。</w:t>
      </w:r>
    </w:p>
    <w:p>
      <w:r>
        <w:t>月度披露应包含流通、解锁、实际发放、实际销毁、剩余库存、现金与负债、服务履约率、真实复购、欺诈损失及持币集中度。价格仅作风险观察，不列为团队绩效目标。若用户只因期待转售而参与、没有独立服务需求，应停止扩大经济激励。</w:t>
      </w:r>
    </w:p>
    <w:p>
      <w:pPr>
        <w:pStyle w:val="Heading1"/>
      </w:pPr>
      <w:r>
        <w:t>九 发放安全与隐私治理</w:t>
      </w:r>
    </w:p>
    <w:p>
      <w:pPr>
        <w:pStyle w:val="Heading2"/>
      </w:pPr>
      <w:r>
        <w:t>先核验后发放与链上防重领</w:t>
      </w:r>
    </w:p>
    <w:p>
      <w:r>
        <w:t>未来获批系统需要从合格记录、异常待审、复核、预算预留到最终领取的完整状态机。任务、账户、周期及规则版本应有唯一性约束；修订和申诉必须保留审计，不能覆盖已记账历史。钱包请求不能指定自己的奖励数量，账户切换也不能继承另一账户的领取资格。</w:t>
      </w:r>
    </w:p>
    <w:p>
      <w:r>
        <w:t>链上授权须绑定领取编号、收款地址、数量、到期时间、链与分发合约，领取编号由合约一次性消费。网络重试、服务重启、多个交易竞争和失败重发都不能产生第二笔奖励。报告成功前应检查正确网络、交易回执和匹配事件；只有交易哈希并不足以证明成功。</w:t>
      </w:r>
    </w:p>
    <w:p>
      <w:r>
        <w:t>已转出且可自由转让的代币通常无法通过修改链下账本收回，所以现有积分审批冲销不能直接套用。异常判断应尽量在最终签发前完成；事后损失通过明确的争议和风险准备机制处理，不能赋予管理员任意没收用户代币的权力。</w:t>
      </w:r>
    </w:p>
    <w:p>
      <w:pPr>
        <w:pStyle w:val="Heading2"/>
      </w:pPr>
      <w:r>
        <w:t>钱包关联需要新的隐私设计</w:t>
      </w:r>
    </w:p>
    <w:p>
      <w:r>
        <w:t>当前核心不接入钱包。未来若要关联身份、活动资格与钱包，须重新说明目的、最少字段、保存期限、处理者、访问权限、撤回及删除后果。公开链记录难以按账户删除清除，必须在参与前解释；随机编号或零知识技术也不能自动证明不可关联。</w:t>
      </w:r>
    </w:p>
    <w:p>
      <w:r>
        <w:t>链上不得放置健康数值、健康哈希、用户身份或可识别健康证明。未读到健康数据不能当成零或确定拒绝授权。Lab继续只用合成任务；真实产品即使未来获准，也不能复用Lab身份、数据库或测试凭证。</w:t>
      </w:r>
    </w:p>
    <w:p>
      <w:pPr>
        <w:pStyle w:val="Heading2"/>
      </w:pPr>
      <w:r>
        <w:t>权限与应急边界</w:t>
      </w:r>
    </w:p>
    <w:p>
      <w:r>
        <w:t>国库及重大分发权限采用冷钱包多签；3／5仅为候选门槛，必须真实落实五名独立签署人，不能把项目A、B、C、D自动当作管理员。热签名器只持有限周期权限，单次和累计额度分别约束；暂停新领取与恢复操作分权。</w:t>
      </w:r>
    </w:p>
    <w:p>
      <w:r>
        <w:t>重大参数、签名器和国库权限变更可采用至少48小时的时间锁，留出公开观察和响应窗口。48小时是本提案参数，并非官方统一要求。OpenZeppelin的时间锁提供延迟及提案、执行权限机制，但仍须审查角色丢失、配置错误和永久锁定风险。</w:t>
      </w:r>
      <w:hyperlink r:id="rId20">
        <w:r>
          <w:rPr>
            <w:color w:val="075D75"/>
          </w:rPr>
          <w:t>OpenZeppelin 权限与时间锁文档</w:t>
        </w:r>
      </w:hyperlink>
      <w:r/>
    </w:p>
    <w:p>
      <w:r>
        <w:t>紧急角色只暂停新增领取，不获得增发、任意扣币或追溯修改归属的权力。验收应包含密钥遗失、签署人退出、误操作、预算耗尽、暂停和恢复演练。多签不能替代独立审计，AI生成代码或自检也不能替代外部审计结论。</w:t>
      </w:r>
    </w:p>
    <w:p>
      <w:pPr>
        <w:pStyle w:val="Heading1"/>
      </w:pPr>
      <w:r>
        <w:t>十 按依赖和验收推进的路线图</w:t>
      </w:r>
    </w:p>
    <w:p>
      <w:r>
        <w:t>只有B和C负责技术需求并交叉复核；A协调商业、产品与法律，D支持研究、设计和黑盒测试。下表不增加交付日期，也不改变原58项需求的负责人。</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15" w:type="dxa"/>
          <w:right w:w="115" w:type="dxa"/>
        </w:tblCellMar>
      </w:tblPr>
      <w:tblGrid>
        <w:gridCol w:w="2232"/>
        <w:gridCol w:w="1800"/>
        <w:gridCol w:w="2016"/>
        <w:gridCol w:w="3888"/>
      </w:tblGrid>
      <w:tr>
        <w:trPr>
          <w:cantSplit/>
          <w:tblHeader/>
        </w:trPr>
        <w:tc>
          <w:tcPr>
            <w:tcW w:type="dxa" w:w="2232"/>
            <w:vAlign w:val="center"/>
            <w:shd w:fill="193B4C"/>
          </w:tcPr>
          <w:p>
            <w:pPr>
              <w:spacing w:after="0" w:line="269" w:lineRule="auto"/>
              <w:jc w:val="center"/>
            </w:pPr>
            <w:r>
              <w:rPr>
                <w:b/>
                <w:color w:val="FFFFFF"/>
                <w:sz w:val="20"/>
              </w:rPr>
              <w:t>阶段与需求</w:t>
            </w:r>
          </w:p>
        </w:tc>
        <w:tc>
          <w:tcPr>
            <w:tcW w:type="dxa" w:w="1800"/>
            <w:vAlign w:val="center"/>
            <w:shd w:fill="193B4C"/>
          </w:tcPr>
          <w:p>
            <w:pPr>
              <w:spacing w:after="0" w:line="269" w:lineRule="auto"/>
              <w:jc w:val="center"/>
            </w:pPr>
            <w:r>
              <w:rPr>
                <w:b/>
                <w:color w:val="FFFFFF"/>
                <w:sz w:val="20"/>
              </w:rPr>
              <w:t>前置条件</w:t>
            </w:r>
          </w:p>
        </w:tc>
        <w:tc>
          <w:tcPr>
            <w:tcW w:type="dxa" w:w="2016"/>
            <w:vAlign w:val="center"/>
            <w:shd w:fill="193B4C"/>
          </w:tcPr>
          <w:p>
            <w:pPr>
              <w:spacing w:after="0" w:line="269" w:lineRule="auto"/>
              <w:jc w:val="center"/>
            </w:pPr>
            <w:r>
              <w:rPr>
                <w:b/>
                <w:color w:val="FFFFFF"/>
                <w:sz w:val="20"/>
              </w:rPr>
              <w:t>验收证据</w:t>
            </w:r>
          </w:p>
        </w:tc>
        <w:tc>
          <w:tcPr>
            <w:tcW w:type="dxa" w:w="3888"/>
            <w:vAlign w:val="center"/>
            <w:shd w:fill="193B4C"/>
          </w:tcPr>
          <w:p>
            <w:pPr>
              <w:spacing w:after="0" w:line="269" w:lineRule="auto"/>
              <w:jc w:val="center"/>
            </w:pPr>
            <w:r>
              <w:rPr>
                <w:b/>
                <w:color w:val="FFFFFF"/>
                <w:sz w:val="20"/>
              </w:rPr>
              <w:t>决策出口</w:t>
            </w:r>
          </w:p>
        </w:tc>
      </w:tr>
      <w:tr>
        <w:trPr>
          <w:cantSplit/>
        </w:trPr>
        <w:tc>
          <w:tcPr>
            <w:tcW w:type="dxa" w:w="2232"/>
            <w:vAlign w:val="center"/>
            <w:shd w:fill="F0F4F7"/>
          </w:tcPr>
          <w:p>
            <w:pPr>
              <w:spacing w:after="0" w:line="269" w:lineRule="auto"/>
            </w:pPr>
            <w:r>
              <w:rPr>
                <w:b w:val="0"/>
                <w:color w:val="000000"/>
                <w:sz w:val="20"/>
              </w:rPr>
              <w:t>核心证据与商业验证</w:t>
            </w:r>
          </w:p>
        </w:tc>
        <w:tc>
          <w:tcPr>
            <w:tcW w:type="dxa" w:w="1800"/>
            <w:vAlign w:val="center"/>
            <w:shd w:fill="F0F4F7"/>
          </w:tcPr>
          <w:p>
            <w:pPr>
              <w:spacing w:after="0" w:line="269" w:lineRule="auto"/>
              <w:jc w:val="center"/>
            </w:pPr>
            <w:r>
              <w:rPr>
                <w:b w:val="0"/>
                <w:color w:val="000000"/>
                <w:sz w:val="20"/>
              </w:rPr>
              <w:t>保持现有P0边界</w:t>
            </w:r>
          </w:p>
        </w:tc>
        <w:tc>
          <w:tcPr>
            <w:tcW w:type="dxa" w:w="2016"/>
            <w:vAlign w:val="center"/>
            <w:shd w:fill="F0F4F7"/>
          </w:tcPr>
          <w:p>
            <w:pPr>
              <w:spacing w:after="0" w:line="269" w:lineRule="auto"/>
            </w:pPr>
            <w:r>
              <w:rPr>
                <w:b w:val="0"/>
                <w:color w:val="000000"/>
                <w:sz w:val="20"/>
              </w:rPr>
              <w:t>两部真实iPhone健康数据与生命周期验证；隐私和B／C验收；独立于赚币的服务需求</w:t>
            </w:r>
          </w:p>
        </w:tc>
        <w:tc>
          <w:tcPr>
            <w:tcW w:type="dxa" w:w="3888"/>
            <w:vAlign w:val="center"/>
            <w:shd w:fill="F0F4F7"/>
          </w:tcPr>
          <w:p>
            <w:pPr>
              <w:spacing w:after="0" w:line="269" w:lineRule="auto"/>
            </w:pPr>
            <w:r>
              <w:rPr>
                <w:b w:val="0"/>
                <w:color w:val="000000"/>
                <w:sz w:val="20"/>
              </w:rPr>
              <w:t>继续积分产品，或同意准备独立Lab</w:t>
            </w:r>
          </w:p>
        </w:tc>
      </w:tr>
      <w:tr>
        <w:trPr>
          <w:cantSplit/>
        </w:trPr>
        <w:tc>
          <w:tcPr>
            <w:tcW w:type="dxa" w:w="2232"/>
            <w:vAlign w:val="center"/>
            <w:shd w:fill="FFFFFF"/>
          </w:tcPr>
          <w:p>
            <w:pPr>
              <w:spacing w:after="0" w:line="269" w:lineRule="auto"/>
            </w:pPr>
            <w:r>
              <w:rPr>
                <w:b w:val="0"/>
                <w:color w:val="000000"/>
                <w:sz w:val="20"/>
              </w:rPr>
              <w:t>L01–L04：隔离与钱包基础</w:t>
            </w:r>
          </w:p>
        </w:tc>
        <w:tc>
          <w:tcPr>
            <w:tcW w:type="dxa" w:w="1800"/>
            <w:vAlign w:val="center"/>
            <w:shd w:fill="FFFFFF"/>
          </w:tcPr>
          <w:p>
            <w:pPr>
              <w:spacing w:after="0" w:line="269" w:lineRule="auto"/>
              <w:jc w:val="center"/>
            </w:pPr>
            <w:r>
              <w:rPr>
                <w:b w:val="0"/>
                <w:color w:val="000000"/>
                <w:sz w:val="20"/>
              </w:rPr>
              <w:t>核心可用切片、隔离设计</w:t>
            </w:r>
          </w:p>
        </w:tc>
        <w:tc>
          <w:tcPr>
            <w:tcW w:type="dxa" w:w="2016"/>
            <w:vAlign w:val="center"/>
            <w:shd w:fill="FFFFFF"/>
          </w:tcPr>
          <w:p>
            <w:pPr>
              <w:spacing w:after="0" w:line="269" w:lineRule="auto"/>
            </w:pPr>
            <w:r>
              <w:rPr>
                <w:b w:val="0"/>
                <w:color w:val="000000"/>
                <w:sz w:val="20"/>
              </w:rPr>
              <w:t>SIWE边界；独立身份和数据库；两款钱包连接、断开和拒签；固定量测试币</w:t>
            </w:r>
          </w:p>
        </w:tc>
        <w:tc>
          <w:tcPr>
            <w:tcW w:type="dxa" w:w="3888"/>
            <w:vAlign w:val="center"/>
            <w:shd w:fill="FFFFFF"/>
          </w:tcPr>
          <w:p>
            <w:pPr>
              <w:spacing w:after="0" w:line="269" w:lineRule="auto"/>
            </w:pPr>
            <w:r>
              <w:rPr>
                <w:b w:val="0"/>
                <w:color w:val="000000"/>
                <w:sz w:val="20"/>
              </w:rPr>
              <w:t>本地测试通过后，单独申请84532广播批准</w:t>
            </w:r>
          </w:p>
        </w:tc>
      </w:tr>
      <w:tr>
        <w:trPr>
          <w:cantSplit/>
        </w:trPr>
        <w:tc>
          <w:tcPr>
            <w:tcW w:type="dxa" w:w="2232"/>
            <w:vAlign w:val="center"/>
            <w:shd w:fill="F0F4F7"/>
          </w:tcPr>
          <w:p>
            <w:pPr>
              <w:spacing w:after="0" w:line="269" w:lineRule="auto"/>
            </w:pPr>
            <w:r>
              <w:rPr>
                <w:b w:val="0"/>
                <w:color w:val="000000"/>
                <w:sz w:val="20"/>
              </w:rPr>
              <w:t>L05–L08：测试领取与说明</w:t>
            </w:r>
          </w:p>
        </w:tc>
        <w:tc>
          <w:tcPr>
            <w:tcW w:type="dxa" w:w="1800"/>
            <w:vAlign w:val="center"/>
            <w:shd w:fill="F0F4F7"/>
          </w:tcPr>
          <w:p>
            <w:pPr>
              <w:spacing w:after="0" w:line="269" w:lineRule="auto"/>
              <w:jc w:val="center"/>
            </w:pPr>
            <w:r>
              <w:rPr>
                <w:b w:val="0"/>
                <w:color w:val="000000"/>
                <w:sz w:val="20"/>
              </w:rPr>
              <w:t>身份和合约基础完成</w:t>
            </w:r>
          </w:p>
        </w:tc>
        <w:tc>
          <w:tcPr>
            <w:tcW w:type="dxa" w:w="2016"/>
            <w:vAlign w:val="center"/>
            <w:shd w:fill="F0F4F7"/>
          </w:tcPr>
          <w:p>
            <w:pPr>
              <w:spacing w:after="0" w:line="269" w:lineRule="auto"/>
            </w:pPr>
            <w:r>
              <w:rPr>
                <w:b w:val="0"/>
                <w:color w:val="000000"/>
                <w:sz w:val="20"/>
              </w:rPr>
              <w:t>一次性领取、错链、重放、失败重试；两款钱包各10次；正式版排除Lab；无未来兑换承诺</w:t>
            </w:r>
          </w:p>
        </w:tc>
        <w:tc>
          <w:tcPr>
            <w:tcW w:type="dxa" w:w="3888"/>
            <w:vAlign w:val="center"/>
            <w:shd w:fill="F0F4F7"/>
          </w:tcPr>
          <w:p>
            <w:pPr>
              <w:spacing w:after="0" w:line="269" w:lineRule="auto"/>
            </w:pPr>
            <w:r>
              <w:rPr>
                <w:b w:val="0"/>
                <w:color w:val="000000"/>
                <w:sz w:val="20"/>
              </w:rPr>
              <w:t>技术实验验收，不产生正式发行权</w:t>
            </w:r>
          </w:p>
        </w:tc>
      </w:tr>
      <w:tr>
        <w:trPr>
          <w:cantSplit/>
        </w:trPr>
        <w:tc>
          <w:tcPr>
            <w:tcW w:type="dxa" w:w="2232"/>
            <w:vAlign w:val="center"/>
            <w:shd w:fill="FFFFFF"/>
          </w:tcPr>
          <w:p>
            <w:pPr>
              <w:spacing w:after="0" w:line="269" w:lineRule="auto"/>
            </w:pPr>
            <w:r>
              <w:rPr>
                <w:b w:val="0"/>
                <w:color w:val="000000"/>
                <w:sz w:val="20"/>
              </w:rPr>
              <w:t>T01→T02：法律和经济设计</w:t>
            </w:r>
          </w:p>
        </w:tc>
        <w:tc>
          <w:tcPr>
            <w:tcW w:type="dxa" w:w="1800"/>
            <w:vAlign w:val="center"/>
            <w:shd w:fill="FFFFFF"/>
          </w:tcPr>
          <w:p>
            <w:pPr>
              <w:spacing w:after="0" w:line="269" w:lineRule="auto"/>
              <w:jc w:val="center"/>
            </w:pPr>
            <w:r>
              <w:rPr>
                <w:b w:val="0"/>
                <w:color w:val="000000"/>
                <w:sz w:val="20"/>
              </w:rPr>
              <w:t>商业验证、另行范围批准</w:t>
            </w:r>
          </w:p>
        </w:tc>
        <w:tc>
          <w:tcPr>
            <w:tcW w:type="dxa" w:w="2016"/>
            <w:vAlign w:val="center"/>
            <w:shd w:fill="FFFFFF"/>
          </w:tcPr>
          <w:p>
            <w:pPr>
              <w:spacing w:after="0" w:line="269" w:lineRule="auto"/>
            </w:pPr>
            <w:r>
              <w:rPr>
                <w:b w:val="0"/>
                <w:color w:val="000000"/>
                <w:sz w:val="20"/>
              </w:rPr>
              <w:t>权利及地区分类、平台允许路径、数据地图、真实履约、现金预算和压力测试</w:t>
            </w:r>
          </w:p>
        </w:tc>
        <w:tc>
          <w:tcPr>
            <w:tcW w:type="dxa" w:w="3888"/>
            <w:vAlign w:val="center"/>
            <w:shd w:fill="FFFFFF"/>
          </w:tcPr>
          <w:p>
            <w:pPr>
              <w:spacing w:after="0" w:line="269" w:lineRule="auto"/>
            </w:pPr>
            <w:r>
              <w:rPr>
                <w:b w:val="0"/>
                <w:color w:val="000000"/>
                <w:sz w:val="20"/>
              </w:rPr>
              <w:t>任一关键条件不成立，停止真实代币方向</w:t>
            </w:r>
          </w:p>
        </w:tc>
      </w:tr>
      <w:tr>
        <w:trPr>
          <w:cantSplit/>
        </w:trPr>
        <w:tc>
          <w:tcPr>
            <w:tcW w:type="dxa" w:w="2232"/>
            <w:vAlign w:val="center"/>
            <w:shd w:fill="F0F4F7"/>
          </w:tcPr>
          <w:p>
            <w:pPr>
              <w:spacing w:after="0" w:line="269" w:lineRule="auto"/>
            </w:pPr>
            <w:r>
              <w:rPr>
                <w:b w:val="0"/>
                <w:color w:val="000000"/>
                <w:sz w:val="20"/>
              </w:rPr>
              <w:t>T03：合约及权限审查</w:t>
            </w:r>
          </w:p>
        </w:tc>
        <w:tc>
          <w:tcPr>
            <w:tcW w:type="dxa" w:w="1800"/>
            <w:vAlign w:val="center"/>
            <w:shd w:fill="F0F4F7"/>
          </w:tcPr>
          <w:p>
            <w:pPr>
              <w:spacing w:after="0" w:line="269" w:lineRule="auto"/>
              <w:jc w:val="center"/>
            </w:pPr>
            <w:r>
              <w:rPr>
                <w:b w:val="0"/>
                <w:color w:val="000000"/>
                <w:sz w:val="20"/>
              </w:rPr>
              <w:t>经批准的经济模型</w:t>
            </w:r>
          </w:p>
        </w:tc>
        <w:tc>
          <w:tcPr>
            <w:tcW w:type="dxa" w:w="2016"/>
            <w:vAlign w:val="center"/>
            <w:shd w:fill="F0F4F7"/>
          </w:tcPr>
          <w:p>
            <w:pPr>
              <w:spacing w:after="0" w:line="269" w:lineRule="auto"/>
            </w:pPr>
            <w:r>
              <w:rPr>
                <w:b w:val="0"/>
                <w:color w:val="000000"/>
                <w:sz w:val="20"/>
              </w:rPr>
              <w:t>外部独立审计未解严重及高危问题为零；供应、归属、领取和密钥演练通过</w:t>
            </w:r>
          </w:p>
        </w:tc>
        <w:tc>
          <w:tcPr>
            <w:tcW w:type="dxa" w:w="3888"/>
            <w:vAlign w:val="center"/>
            <w:shd w:fill="F0F4F7"/>
          </w:tcPr>
          <w:p>
            <w:pPr>
              <w:spacing w:after="0" w:line="269" w:lineRule="auto"/>
              <w:jc w:val="center"/>
            </w:pPr>
            <w:r>
              <w:rPr>
                <w:b w:val="0"/>
                <w:color w:val="000000"/>
                <w:sz w:val="20"/>
              </w:rPr>
              <w:t>仅形成下一阶段审议材料</w:t>
            </w:r>
          </w:p>
        </w:tc>
      </w:tr>
      <w:tr>
        <w:trPr>
          <w:cantSplit/>
        </w:trPr>
        <w:tc>
          <w:tcPr>
            <w:tcW w:type="dxa" w:w="2232"/>
            <w:vAlign w:val="center"/>
            <w:shd w:fill="FFFFFF"/>
          </w:tcPr>
          <w:p>
            <w:pPr>
              <w:spacing w:after="0" w:line="269" w:lineRule="auto"/>
            </w:pPr>
            <w:r>
              <w:rPr>
                <w:b w:val="0"/>
                <w:color w:val="000000"/>
                <w:sz w:val="20"/>
              </w:rPr>
              <w:t>T04：条件性发行运营</w:t>
            </w:r>
          </w:p>
        </w:tc>
        <w:tc>
          <w:tcPr>
            <w:tcW w:type="dxa" w:w="1800"/>
            <w:vAlign w:val="center"/>
            <w:shd w:fill="FFFFFF"/>
          </w:tcPr>
          <w:p>
            <w:pPr>
              <w:spacing w:after="0" w:line="269" w:lineRule="auto"/>
              <w:jc w:val="center"/>
            </w:pPr>
            <w:r>
              <w:rPr>
                <w:b w:val="0"/>
                <w:color w:val="000000"/>
                <w:sz w:val="20"/>
              </w:rPr>
              <w:t>T01、T03及新的明确授权</w:t>
            </w:r>
          </w:p>
        </w:tc>
        <w:tc>
          <w:tcPr>
            <w:tcW w:type="dxa" w:w="2016"/>
            <w:vAlign w:val="center"/>
            <w:shd w:fill="FFFFFF"/>
          </w:tcPr>
          <w:p>
            <w:pPr>
              <w:spacing w:after="0" w:line="269" w:lineRule="auto"/>
            </w:pPr>
            <w:r>
              <w:rPr>
                <w:b w:val="0"/>
                <w:color w:val="000000"/>
                <w:sz w:val="20"/>
              </w:rPr>
              <w:t>部署和资金范围重新审查；客服、税务、对账、费用预算与退出机制</w:t>
            </w:r>
          </w:p>
        </w:tc>
        <w:tc>
          <w:tcPr>
            <w:tcW w:type="dxa" w:w="3888"/>
            <w:vAlign w:val="center"/>
            <w:shd w:fill="FFFFFF"/>
          </w:tcPr>
          <w:p>
            <w:pPr>
              <w:spacing w:after="0" w:line="269" w:lineRule="auto"/>
            </w:pPr>
            <w:r>
              <w:rPr>
                <w:b w:val="0"/>
                <w:color w:val="000000"/>
                <w:sz w:val="20"/>
              </w:rPr>
              <w:t>当前简报不授权主网；另行决定是否试点</w:t>
            </w:r>
          </w:p>
        </w:tc>
      </w:tr>
      <w:tr>
        <w:trPr>
          <w:cantSplit/>
        </w:trPr>
        <w:tc>
          <w:tcPr>
            <w:tcW w:type="dxa" w:w="2232"/>
            <w:vAlign w:val="center"/>
            <w:shd w:fill="F0F4F7"/>
          </w:tcPr>
          <w:p>
            <w:pPr>
              <w:spacing w:after="0" w:line="269" w:lineRule="auto"/>
            </w:pPr>
            <w:r>
              <w:rPr>
                <w:b w:val="0"/>
                <w:color w:val="000000"/>
                <w:sz w:val="20"/>
              </w:rPr>
              <w:t>T05、T06：市场条件与持续监控</w:t>
            </w:r>
          </w:p>
        </w:tc>
        <w:tc>
          <w:tcPr>
            <w:tcW w:type="dxa" w:w="1800"/>
            <w:vAlign w:val="center"/>
            <w:shd w:fill="F0F4F7"/>
          </w:tcPr>
          <w:p>
            <w:pPr>
              <w:spacing w:after="0" w:line="269" w:lineRule="auto"/>
              <w:jc w:val="center"/>
            </w:pPr>
            <w:r>
              <w:rPr>
                <w:b w:val="0"/>
                <w:color w:val="000000"/>
                <w:sz w:val="20"/>
              </w:rPr>
              <w:t>T04另获批准且运营证据充分</w:t>
            </w:r>
          </w:p>
        </w:tc>
        <w:tc>
          <w:tcPr>
            <w:tcW w:type="dxa" w:w="2016"/>
            <w:vAlign w:val="center"/>
            <w:shd w:fill="F0F4F7"/>
          </w:tcPr>
          <w:p>
            <w:pPr>
              <w:spacing w:after="0" w:line="269" w:lineRule="auto"/>
            </w:pPr>
            <w:r>
              <w:rPr>
                <w:b w:val="0"/>
                <w:color w:val="000000"/>
                <w:sz w:val="20"/>
              </w:rPr>
              <w:t>平台自主审批、独立报价资产、透明月报、风险停发机制</w:t>
            </w:r>
          </w:p>
        </w:tc>
        <w:tc>
          <w:tcPr>
            <w:tcW w:type="dxa" w:w="3888"/>
            <w:vAlign w:val="center"/>
            <w:shd w:fill="F0F4F7"/>
          </w:tcPr>
          <w:p>
            <w:pPr>
              <w:spacing w:after="0" w:line="269" w:lineRule="auto"/>
              <w:jc w:val="center"/>
            </w:pPr>
            <w:r>
              <w:rPr>
                <w:b w:val="0"/>
                <w:color w:val="000000"/>
                <w:sz w:val="20"/>
              </w:rPr>
              <w:t>不保证上市，不刷量，不保价</w:t>
            </w:r>
          </w:p>
        </w:tc>
      </w:tr>
    </w:tbl>
    <w:p>
      <w:pPr>
        <w:spacing w:after="40"/>
      </w:pPr>
    </w:p>
    <w:p>
      <w:r>
        <w:t>实验阶段只允许本地EVM与获明确批准的Base Sepolia 84532。正式发行、主网、交易平台、托管、付款与推广均不是通过实验后自动解锁的动作。此文件不会创建账户、花费资金、部署合约或广播交易。</w:t>
      </w:r>
    </w:p>
    <w:p>
      <w:r>
        <w:t>当前可以执行的下一步是B／C补齐核心设备验收证据，同时由A协调真实服务需求和平台路径评估；如另获Lab实施指令，则先完成隔离边界和本地合约测试。是否采用代币、是否开展真实T2E以及最终分配参数，应在对应证据齐备后分别决策。</w:t>
      </w:r>
    </w:p>
    <w:p>
      <w:pPr>
        <w:pStyle w:val="Heading1"/>
      </w:pPr>
      <w:r>
        <w:t>十一 来源与使用范围</w:t>
      </w:r>
    </w:p>
    <w:p>
      <w:r>
        <w:t>以下官方资料于2026-09-28核查。平台规则和监管资料可能更新；正式审查须再次核对实际版本。文中经济比例、现金公式、风险阈值和治理时间均为本提案假设，不是下列机构建议或批准。</w:t>
      </w:r>
    </w:p>
    <w:p>
      <w:pPr>
        <w:pStyle w:val="ListBullet"/>
      </w:pPr>
      <w:r/>
      <w:hyperlink r:id="rId13">
        <w:r>
          <w:rPr>
            <w:color w:val="075D75"/>
          </w:rPr>
          <w:t>Apple App Review Guidelines</w:t>
        </w:r>
      </w:hyperlink>
      <w:r>
        <w:t>：任务换加密货币、健康数据使用及应用审核边界。</w:t>
      </w:r>
    </w:p>
    <w:p>
      <w:pPr>
        <w:pStyle w:val="ListBullet"/>
      </w:pPr>
      <w:r/>
      <w:hyperlink r:id="rId14">
        <w:r>
          <w:rPr>
            <w:color w:val="075D75"/>
          </w:rPr>
          <w:t>Google Android健康权限指引</w:t>
        </w:r>
      </w:hyperlink>
      <w:r>
        <w:t>：允许用途中的Rewards及健康数据限制。</w:t>
      </w:r>
    </w:p>
    <w:p>
      <w:pPr>
        <w:pStyle w:val="ListBullet"/>
      </w:pPr>
      <w:r/>
      <w:hyperlink r:id="rId15">
        <w:r>
          <w:rPr>
            <w:color w:val="075D75"/>
          </w:rPr>
          <w:t>Google区块链内容政策</w:t>
        </w:r>
      </w:hyperlink>
      <w:r>
        <w:t>：代币化数字资产申报及收益宣传限制。</w:t>
      </w:r>
    </w:p>
    <w:p>
      <w:pPr>
        <w:pStyle w:val="ListBullet"/>
      </w:pPr>
      <w:r/>
      <w:hyperlink r:id="rId16">
        <w:r>
          <w:rPr>
            <w:color w:val="075D75"/>
          </w:rPr>
          <w:t>SFC关于首次代币发行的声明</w:t>
        </w:r>
      </w:hyperlink>
      <w:r>
        <w:t>：2017年分类原则，不作为完整现行法律意见。</w:t>
      </w:r>
    </w:p>
    <w:p>
      <w:pPr>
        <w:pStyle w:val="ListBullet"/>
      </w:pPr>
      <w:r/>
      <w:hyperlink r:id="rId17">
        <w:r>
          <w:rPr>
            <w:color w:val="075D75"/>
          </w:rPr>
          <w:t>SFC虚拟资产交易平台资料</w:t>
        </w:r>
      </w:hyperlink>
      <w:r>
        <w:t>：中央交易平台的许可范围。</w:t>
      </w:r>
    </w:p>
    <w:p>
      <w:pPr>
        <w:pStyle w:val="ListBullet"/>
      </w:pPr>
      <w:r/>
      <w:hyperlink r:id="rId12">
        <w:r>
          <w:rPr>
            <w:color w:val="075D75"/>
          </w:rPr>
          <w:t>Base网络资料</w:t>
        </w:r>
      </w:hyperlink>
      <w:r>
        <w:t>：Base Sepolia及链ID84532。</w:t>
      </w:r>
    </w:p>
    <w:p>
      <w:pPr>
        <w:pStyle w:val="ListBullet"/>
      </w:pPr>
      <w:r/>
      <w:hyperlink r:id="rId18">
        <w:r>
          <w:rPr>
            <w:color w:val="075D75"/>
          </w:rPr>
          <w:t>OpenZeppelin ERC20</w:t>
        </w:r>
      </w:hyperlink>
      <w:r>
        <w:t>：代币、供应上限与销毁机制。</w:t>
      </w:r>
    </w:p>
    <w:p>
      <w:pPr>
        <w:pStyle w:val="ListBullet"/>
      </w:pPr>
      <w:r/>
      <w:hyperlink r:id="rId19">
        <w:r>
          <w:rPr>
            <w:color w:val="075D75"/>
          </w:rPr>
          <w:t>OpenZeppelin Finance</w:t>
        </w:r>
      </w:hyperlink>
      <w:r>
        <w:t>：VestingWallet归属与所有权语义。</w:t>
      </w:r>
    </w:p>
    <w:p>
      <w:pPr>
        <w:pStyle w:val="ListBullet"/>
      </w:pPr>
      <w:r/>
      <w:hyperlink r:id="rId20">
        <w:r>
          <w:rPr>
            <w:color w:val="075D75"/>
          </w:rPr>
          <w:t>OpenZeppelin Access Control</w:t>
        </w:r>
      </w:hyperlink>
      <w:r>
        <w:t>：角色、多签配合和时间锁机制。</w:t>
      </w:r>
    </w:p>
    <w:p>
      <w:pPr>
        <w:pStyle w:val="ListBullet"/>
      </w:pPr>
      <w:r/>
      <w:hyperlink r:id="rId21">
        <w:r>
          <w:rPr>
            <w:color w:val="075D75"/>
          </w:rPr>
          <w:t>HealthLoop需求清单</w:t>
        </w:r>
      </w:hyperlink>
      <w:r>
        <w:t>：58项需求、B／C责任及依赖；</w:t>
      </w:r>
      <w:hyperlink r:id="rId10">
        <w:r>
          <w:rPr>
            <w:color w:val="075D75"/>
          </w:rPr>
          <w:t>实施状态</w:t>
        </w:r>
      </w:hyperlink>
      <w:r>
        <w:t>和</w:t>
      </w:r>
      <w:hyperlink r:id="rId11">
        <w:r>
          <w:rPr>
            <w:color w:val="075D75"/>
          </w:rPr>
          <w:t>测试证据</w:t>
        </w:r>
      </w:hyperlink>
      <w:r>
        <w:t>记录实际完成范围。</w:t>
      </w:r>
    </w:p>
    <w:sectPr w:rsidR="00FC693F" w:rsidRPr="0006063C" w:rsidSect="00034616">
      <w:footerReference w:type="default" r:id="rId9"/>
      <w:pgSz w:w="12240" w:h="15840"/>
      <w:pgMar w:top="936"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HealthLoop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ordWrap w:val="off"/>
      <w:spacing w:line="300" w:lineRule="auto" w:after="160"/>
    </w:pPr>
    <w:rPr>
      <w:rFonts w:ascii="Arial Unicode MS" w:hAnsi="Arial Unicode MS" w:eastAsia="Arial Unicode MS" w:cs="Arial Unicode MS"/>
      <w:b w:val="0"/>
      <w:color w:val="00000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wordWrap w:val="off"/>
    </w:pPr>
    <w:rPr>
      <w:rFonts w:ascii="Arial Unicode MS" w:hAnsi="Arial Unicode MS" w:eastAsia="Arial Unicode MS" w:cs="Arial Unicode MS"/>
      <w:b/>
      <w:bCs/>
      <w:color w:val="000000"/>
      <w:sz w:val="32"/>
      <w:szCs w:val="28"/>
      <w:lang w:val="zh-CN" w:eastAsia="zh-CN"/>
    </w:rPr>
  </w:style>
  <w:style w:type="paragraph" w:styleId="Heading2">
    <w:name w:val="heading 2"/>
    <w:basedOn w:val="Normal"/>
    <w:next w:val="Normal"/>
    <w:link w:val="Heading2Char"/>
    <w:uiPriority w:val="9"/>
    <w:unhideWhenUsed/>
    <w:qFormat/>
    <w:rsid w:val="00FC693F"/>
    <w:pPr>
      <w:keepNext/>
      <w:keepLines/>
      <w:spacing w:before="240" w:after="140"/>
      <w:outlineLvl w:val="1"/>
      <w:wordWrap w:val="off"/>
    </w:pPr>
    <w:rPr>
      <w:rFonts w:ascii="Arial Unicode MS" w:hAnsi="Arial Unicode MS" w:eastAsia="Arial Unicode MS" w:cs="Arial Unicode MS"/>
      <w:b/>
      <w:bCs/>
      <w:color w:val="000000"/>
      <w:sz w:val="24"/>
      <w:szCs w:val="26"/>
      <w:lang w:val="zh-CN"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wordWrap w:val="off"/>
    </w:pPr>
    <w:rPr>
      <w:rFonts w:ascii="Arial Unicode MS" w:hAnsi="Arial Unicode MS" w:eastAsia="Arial Unicode MS" w:cs="Arial Unicode MS"/>
      <w:b/>
      <w:color w:val="000000"/>
      <w:spacing w:val="5"/>
      <w:kern w:val="28"/>
      <w:sz w:val="48"/>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wordWrap w:val="off"/>
    </w:pPr>
    <w:rPr>
      <w:rFonts w:ascii="Arial Unicode MS" w:hAnsi="Arial Unicode MS" w:eastAsia="Arial Unicode MS" w:cs="Arial Unicode MS"/>
      <w:b w:val="0"/>
      <w:i/>
      <w:iCs/>
      <w:color w:val="000000"/>
      <w:spacing w:val="15"/>
      <w:sz w:val="22"/>
      <w:szCs w:val="24"/>
      <w:lang w:val="zh-CN"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wordWrap w:val="off"/>
    </w:pPr>
    <w:rPr>
      <w:rFonts w:ascii="Arial Unicode MS" w:hAnsi="Arial Unicode MS" w:eastAsia="Arial Unicode MS" w:cs="Arial Unicode MS"/>
      <w:b w:val="0"/>
      <w:color w:val="000000"/>
      <w:sz w:val="22"/>
      <w:lang w:val="zh-CN" w:eastAsia="zh-C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IMPLEMENTATION_STATUS.md" TargetMode="External"/><Relationship Id="rId11" Type="http://schemas.openxmlformats.org/officeDocument/2006/relationships/hyperlink" Target="../TEST_EVIDENCE.md" TargetMode="External"/><Relationship Id="rId12" Type="http://schemas.openxmlformats.org/officeDocument/2006/relationships/hyperlink" Target="https://docs.base.org/get-started/connect-to-base" TargetMode="External"/><Relationship Id="rId13" Type="http://schemas.openxmlformats.org/officeDocument/2006/relationships/hyperlink" Target="https://developer.apple.com/app-store/review/guidelines/" TargetMode="External"/><Relationship Id="rId14" Type="http://schemas.openxmlformats.org/officeDocument/2006/relationships/hyperlink" Target="https://support.google.com/googleplay/android-developer/answer/12991134?hl=en" TargetMode="External"/><Relationship Id="rId15" Type="http://schemas.openxmlformats.org/officeDocument/2006/relationships/hyperlink" Target="https://support.google.com/googleplay/android-developer/answer/13607354?hl=en" TargetMode="External"/><Relationship Id="rId16" Type="http://schemas.openxmlformats.org/officeDocument/2006/relationships/hyperlink" Target="https://www.sfc.hk/en/News-and-announcements/Policy-statements-and-announcements/Statement-on-initial-coin-offerings" TargetMode="External"/><Relationship Id="rId17" Type="http://schemas.openxmlformats.org/officeDocument/2006/relationships/hyperlink" Target="https://www.sfc.hk/en/Welcome-to-the-Fintech-Contact-Point/Virtual-assets/Virtual-asset-trading-platforms-operators" TargetMode="External"/><Relationship Id="rId18" Type="http://schemas.openxmlformats.org/officeDocument/2006/relationships/hyperlink" Target="https://docs.openzeppelin.com/contracts/5.x/api/token/erc20" TargetMode="External"/><Relationship Id="rId19" Type="http://schemas.openxmlformats.org/officeDocument/2006/relationships/hyperlink" Target="https://docs.openzeppelin.com/contracts/5.x/api/finance" TargetMode="External"/><Relationship Id="rId20" Type="http://schemas.openxmlformats.org/officeDocument/2006/relationships/hyperlink" Target="https://docs.openzeppelin.com/contracts/5.x/access-control" TargetMode="External"/><Relationship Id="rId21" Type="http://schemas.openxmlformats.org/officeDocument/2006/relationships/hyperlink" Target="../requiremen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HealthLoop Train to Earn 代币经济与路线图</dc:title>
  <dc:subject>2026-09-28 简体中文方案</dc:subject>
  <dc:creator>HealthLoop 项目团队</dc:creator>
  <cp:keywords/>
  <dc:description/>
  <cp:lastModifiedBy>HealthLoop 项目团队</cp:lastModifiedBy>
  <cp:revision>1</cp:revision>
  <dcterms:created xsi:type="dcterms:W3CDTF">2013-12-23T23:15:00Z</dcterms:created>
  <dcterms:modified xsi:type="dcterms:W3CDTF">2013-12-23T23:15:00Z</dcterms:modified>
  <cp:category/>
</cp:coreProperties>
</file>