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HealthLoop 健康獎勵平台商業提案</w:t>
      </w:r>
    </w:p>
    <w:p>
      <w:pPr>
        <w:pStyle w:val="Subtitle"/>
      </w:pPr>
      <w:r>
        <w:t>Business Proposal</w:t>
      </w:r>
    </w:p>
    <w:p>
      <w:r>
        <w:t>香港市場策略合作版　｜　2026 年 10 月 5 日</w:t>
      </w:r>
    </w:p>
    <w:p>
      <w:pPr>
        <w:pStyle w:val="Heading1"/>
      </w:pPr>
      <w:r>
        <w:t>合作摘要</w:t>
      </w:r>
    </w:p>
    <w:p>
      <w:r>
        <w:t>HealthLoop 致力把日常步行轉化為看得見的進度、可達成的任務與清楚的獎勵紀錄。我們以 iOS 優先的健康習慣 App 為起點，結合非現金積分與活動營運服務，讓個人更容易建立參與節奏，也讓機構與品牌有機會支持持續的健康生活體驗。</w:t>
      </w:r>
    </w:p>
    <w:p>
      <w:r/>
      <w:r>
        <w:rPr>
          <w:b/>
        </w:rPr>
        <w:t>本提案呈現 HealthLoop 的產品定位、核心體驗與商業價值，供策略合作方評估服務及品牌合作機會。</w:t>
      </w:r>
      <w:r>
        <w:t xml:space="preserve"> 合作方向包括活動內容、機構服務及品牌贊助，具體服務與履約條件由雙方另行確認。</w:t>
      </w:r>
    </w:p>
    <w:p>
      <w:pPr>
        <w:pStyle w:val="Heading2"/>
      </w:pPr>
      <w:r>
        <w:t>我們提供的商業價值</w:t>
      </w:r>
    </w:p>
    <w:p>
      <w:pPr>
        <w:pStyle w:val="ListBullet"/>
        <w:spacing w:after="120"/>
      </w:pPr>
      <w:r/>
      <w:r>
        <w:rPr>
          <w:b/>
        </w:rPr>
        <w:t>對使用者</w:t>
      </w:r>
      <w:r>
        <w:t>：把步行紀錄整理成下一個可執行的小目標，透過每日任務、每週進度與積分帳本獲得回饋。</w:t>
      </w:r>
    </w:p>
    <w:p>
      <w:pPr>
        <w:pStyle w:val="ListBullet"/>
        <w:spacing w:after="120"/>
      </w:pPr>
      <w:r/>
      <w:r>
        <w:rPr>
          <w:b/>
        </w:rPr>
        <w:t>對機構</w:t>
      </w:r>
      <w:r>
        <w:t>：擬提供活動設計、參與支援及行政成果整理，減少逐次自行組織活動的工作量。</w:t>
      </w:r>
    </w:p>
    <w:p>
      <w:pPr>
        <w:pStyle w:val="ListBullet"/>
        <w:spacing w:after="120"/>
      </w:pPr>
      <w:r/>
      <w:r>
        <w:rPr>
          <w:b/>
        </w:rPr>
        <w:t>對品牌</w:t>
      </w:r>
      <w:r>
        <w:t>：擬提供清楚標示的贊助版位與內容合作，在不使用個人健康資料定向的前提下建立接觸機會。</w:t>
      </w:r>
    </w:p>
    <w:p>
      <w:pPr>
        <w:pStyle w:val="Heading2"/>
      </w:pPr>
      <w:r>
        <w:t>產品與成長主線</w:t>
      </w:r>
    </w:p>
    <w:p>
      <w:r/>
      <w:r>
        <w:rPr>
          <w:b/>
        </w:rPr>
        <w:t>日常活動 → 任務核算 → 平台積分 → 成就回饋 → 再次參與</w:t>
      </w:r>
      <w:r/>
    </w:p>
    <w:p>
      <w:r>
        <w:t>X-to-Earn 在本提案首先代表「參與有回饋」：核心回饋是不可轉讓、無現金價值的平台積分。後續收入以服務、內容及合作交付為基礎。Web3 與代幣經濟另見獨立的「HealthLoop Web3 與代幣經濟」。</w:t>
      </w:r>
    </w:p>
    <w:p>
      <w:pPr>
        <w:pStyle w:val="Heading2"/>
      </w:pPr>
      <w:r>
        <w:t>項目階段</w:t>
      </w:r>
    </w:p>
    <w:p>
      <w:r>
        <w:t>HealthLoop 已建立並完成本機測試的核心任務與積分流程，具備原生編譯及既有模擬器操作證據，正推進真機驗證與合作研究。本文件的商業服務屬擬議方案，具體推出以產品驗收及合作條件為準。</w:t>
      </w:r>
    </w:p>
    <w:p>
      <w:pPr>
        <w:pStyle w:val="Heading1"/>
        <w:pageBreakBefore/>
      </w:pPr>
      <w:r>
        <w:t>產品體驗與差異化</w:t>
      </w:r>
    </w:p>
    <w:p>
      <w:r>
        <w:t>首批服務對象擬聚焦香港成年 iPhone 使用者，優先研究希望把活動融入工作日與通勤生活的人群。現有 App 採簡體中文介面；服務對象的語言適配會列入產品研究。這是聚焦產品與渠道的切入假設，不代表已取得市場份額。</w:t>
      </w:r>
    </w:p>
    <w:p>
      <w:pPr>
        <w:pStyle w:val="Heading2"/>
      </w:pPr>
      <w:r>
        <w:t>從查看紀錄到完成任務</w:t>
      </w:r>
    </w:p>
    <w:p>
      <w:r>
        <w:t>使用者以電郵登入，分別選擇健康讀取與雲端同步，查看可取得的步數、資料來源及更新時間。任務頁展示門檻、有效期與可得積分；伺服器根據接受的活動摘要及規則核算，使用者可在帳本查看每次入帳及更正。</w:t>
      </w:r>
    </w:p>
    <w:p>
      <w:r>
        <w:t>現有核心規則以香港時區計算，以下門檻以伺服器接受的合格步數為準。健康資料讀取採唯讀設計；兩部實體 iPhone 的完整驗證列入推出前驗收。服務定位為日常習慣支持，不提供醫療診斷。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160"/>
        <w:gridCol w:w="3168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活動條件</w:t>
            </w:r>
          </w:p>
        </w:tc>
        <w:tc>
          <w:tcPr>
            <w:tcW w:type="dxa" w:w="3168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核心積分規則</w:t>
            </w:r>
          </w:p>
        </w:tc>
        <w:tc>
          <w:tcPr>
            <w:tcW w:type="dxa" w:w="403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使用者體驗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每日 3,000 步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10 分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提供清楚的起步目標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每日 5,000 步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20 分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已領 10 分者補發差額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每日 7,000 步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30 分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當日只取最高級別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每週三個合格日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額外 20 分一次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鼓勵規律參與並保留休息彈性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t>每週合格日的預設門檻為 3,000 步；基本步行獎勵每日上限 30 分。休息不扣分，加入不要求買 NFT、連接錢包或觀看廣告。原生首版以個人平台成就呈現獎勵，依已入帳的活動結果核算；真實商戶權益另待合約、核銷及履約安排落實。</w:t>
      </w:r>
    </w:p>
    <w:p>
      <w:pPr>
        <w:pStyle w:val="Heading2"/>
      </w:pPr>
      <w:r>
        <w:t>可形成長期優勢的產品基礎</w:t>
      </w:r>
    </w:p>
    <w:p>
      <w:r/>
      <w:r>
        <w:rPr>
          <w:b/>
        </w:rPr>
        <w:t>容易理解的規則。</w:t>
      </w:r>
      <w:r>
        <w:t xml:space="preserve"> 門檻、上限與入帳紀錄讓使用者看懂努力如何獲得回饋，也為合作活動提供一致的說明基礎。</w:t>
      </w:r>
    </w:p>
    <w:p>
      <w:r/>
      <w:r>
        <w:rPr>
          <w:b/>
        </w:rPr>
        <w:t>可追溯的獎勵運作。</w:t>
      </w:r>
      <w:r>
        <w:t xml:space="preserve"> 伺服器統一核算、重複領取控制及保留更正紀錄，已納入本機測試，為擴大參與量建立基礎。</w:t>
      </w:r>
    </w:p>
    <w:p>
      <w:r/>
      <w:r>
        <w:rPr>
          <w:b/>
        </w:rPr>
        <w:t>自主參與與資料最少化。</w:t>
      </w:r>
      <w:r>
        <w:t xml:space="preserve"> 健康讀取、同步及行銷選擇分開；商業合作設計不出售個人健康紀錄，也不向贊助方提供活動達標名單。</w:t>
      </w:r>
    </w:p>
    <w:p>
      <w:pPr>
        <w:pStyle w:val="Heading1"/>
        <w:pageBreakBefore/>
      </w:pPr>
      <w:r>
        <w:t>X to Earn 的產品擴展策略</w:t>
      </w:r>
    </w:p>
    <w:p>
      <w:r>
        <w:t>我們以基本活動回饋建立使用習慣，再逐步加入能獨立提供價值的內容與合作服務。每種回饋都應有明確用途、成本上限及可核實的發放條件。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160"/>
        <w:gridCol w:w="3168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產品層次</w:t>
            </w:r>
          </w:p>
        </w:tc>
        <w:tc>
          <w:tcPr>
            <w:tcW w:type="dxa" w:w="3168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擬提供的價值</w:t>
            </w:r>
          </w:p>
        </w:tc>
        <w:tc>
          <w:tcPr>
            <w:tcW w:type="dxa" w:w="403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產品條件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基本活動積分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每日目標、每週進度及個人成就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延續核心流程，完成真機與發布驗收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付費內容及會員服務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購買後即可使用的主題、內容或持續服務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使用 StoreKit，驗證交易、恢復購買及退款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自願獎勵廣告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本人使用的 App 內外觀或其他封閉式獎勵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與活動帳本分開，完成供應商及私隱驗證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t>基本活動積分獨立於付費內容和廣告。後續內容服務須在購買後提供實際價值；廣告獎勵須驗證完整觀看並只發放一次，拒絕觀看或追蹤不影響正常功能。健康資料不進入廣告請求或贊助報表。</w:t>
      </w:r>
    </w:p>
    <w:p>
      <w:r>
        <w:t>若採用 AdMob，獎勵須符合不可轉讓及平台內使用條件，不能是現金、加密貨幣或禮品卡。付費與廣告功能完成各自驗證後才納入產品。</w:t>
      </w:r>
      <w:hyperlink r:id="rId11">
        <w:r>
          <w:rPr>
            <w:color w:val="11616B"/>
          </w:rPr>
          <w:t>Apple 審核指引</w:t>
        </w:r>
      </w:hyperlink>
      <w:r>
        <w:t>、</w:t>
      </w:r>
      <w:hyperlink r:id="rId12">
        <w:r>
          <w:rPr>
            <w:color w:val="11616B"/>
          </w:rPr>
          <w:t>Google 獎勵廣告政策</w:t>
        </w:r>
      </w:hyperlink>
      <w:r/>
    </w:p>
    <w:p>
      <w:pPr>
        <w:pStyle w:val="Heading1"/>
      </w:pPr>
      <w:r>
        <w:t>收入模式與經營邏輯</w:t>
      </w:r>
    </w:p>
    <w:p>
      <w:r>
        <w:t>HealthLoop 的商業方向包括機構活動服務與非健康定向的品牌贊助。兩者能把收入連結到可交付的服務與版位。付費內容及獎勵廣告在完成產品與平台驗證後，形成後續收入選項。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5" w:type="dxa"/>
          <w:right w:w="95" w:type="dxa"/>
        </w:tblCellMar>
      </w:tblPr>
      <w:tblGrid>
        <w:gridCol w:w="2160"/>
        <w:gridCol w:w="3168"/>
        <w:gridCol w:w="4032"/>
      </w:tblGrid>
      <w:tr>
        <w:trPr>
          <w:cantSplit/>
          <w:tblHeader/>
        </w:trPr>
        <w:tc>
          <w:tcPr>
            <w:tcW w:type="dxa" w:w="2160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收入方向</w:t>
            </w:r>
          </w:p>
        </w:tc>
        <w:tc>
          <w:tcPr>
            <w:tcW w:type="dxa" w:w="3168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合作方購買甚麼</w:t>
            </w:r>
          </w:p>
        </w:tc>
        <w:tc>
          <w:tcPr>
            <w:tcW w:type="dxa" w:w="4032"/>
            <w:vAlign w:val="center"/>
            <w:shd w:fill="173B49"/>
          </w:tcPr>
          <w:p>
            <w:pPr>
              <w:spacing w:before="0" w:after="0" w:line="290" w:lineRule="exact"/>
              <w:snapToGrid w:val="0"/>
              <w:jc w:val="center"/>
            </w:pPr>
            <w:r>
              <w:rPr>
                <w:b/>
                <w:color w:val="FFFFFF"/>
                <w:sz w:val="21"/>
              </w:rPr>
              <w:t>商業驗證重點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機構活動服務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活動設計、內容、參與支援及行政成果整理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採購預算、交付工時、續約意願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品牌贊助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非健康定向版位、經核准內容及彙總曝光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版位價值、受眾規模及實際回款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增值內容</w:t>
            </w:r>
          </w:p>
        </w:tc>
        <w:tc>
          <w:tcPr>
            <w:tcW w:type="dxa" w:w="3168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可立即使用的內容、主題或會員服務</w:t>
            </w:r>
          </w:p>
        </w:tc>
        <w:tc>
          <w:tcPr>
            <w:tcW w:type="dxa" w:w="4032"/>
            <w:vAlign w:val="center"/>
            <w:shd w:fill="F1F5F7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付費意願、持續價值及平台費用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可選廣告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合規廣告展示與觀看完成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before="0" w:after="0" w:line="290" w:lineRule="exact"/>
              <w:snapToGrid w:val="0"/>
            </w:pPr>
            <w:r>
              <w:rPr>
                <w:sz w:val="21"/>
              </w:rPr>
              <w:t>實收廣告收入、使用體驗及淨貢獻</w:t>
            </w:r>
          </w:p>
        </w:tc>
      </w:tr>
    </w:tbl>
    <w:p>
      <w:pPr>
        <w:spacing w:after="0" w:line="240" w:lineRule="auto"/>
      </w:pPr>
      <w:r>
        <w:rPr>
          <w:sz w:val="6"/>
        </w:rPr>
      </w:r>
    </w:p>
    <w:p>
      <w:r>
        <w:t>機構報告擬先限於行政參與資訊與服務交付；不提供個人的步數、睡眠、心率或達標名單。贊助報表只設計為不含健康資料及可關聯身份的版位彙總。商戶合作另以真實合約、庫存與退款安排建立可交付權益。</w:t>
      </w:r>
    </w:p>
    <w:p>
      <w:pPr>
        <w:pStyle w:val="Heading1"/>
        <w:pageBreakBefore/>
      </w:pPr>
      <w:r>
        <w:t>提案依據與適用範圍</w:t>
      </w:r>
    </w:p>
    <w:p>
      <w:r>
        <w:t>HealthLoop 以原生健康習慣體驗、可追溯平台積分及個人成就為產品基礎。商業服務按實際交付能力及合作條件建立，讓使用者價值、資料使用與合作責任保持清楚。</w:t>
      </w:r>
    </w:p>
    <w:p>
      <w:pPr>
        <w:pStyle w:val="Heading2"/>
      </w:pPr>
      <w:r>
        <w:t>現有產品證據</w:t>
      </w:r>
    </w:p>
    <w:p>
      <w:r>
        <w:t>專案已有本機驗證的登入、任務、積分帳本及部分帳戶私隱流程。既有 2026 年 10 月 5 日工程紀錄載有 355 項測試、68 組資料庫檢查、25 項跨層整合測試、34 項伺服器及刪除工作測試，以及六組真實本機認證流程檢查通過。</w:t>
      </w:r>
    </w:p>
    <w:p>
      <w:r>
        <w:t>上述活動測試使用合成資料；既有模擬器操作紀錄屬 2026 年 9 月 28 日版本。這些紀錄為核心工程提供依據，當前介面、兩部真機健康讀取及後續商業整合仍按各自驗收條件確認。</w:t>
      </w:r>
    </w:p>
    <w:p>
      <w:pPr>
        <w:pStyle w:val="Heading2"/>
      </w:pPr>
      <w:r>
        <w:t>產品與合作條件</w:t>
      </w:r>
    </w:p>
    <w:p>
      <w:r>
        <w:t>機構、商戶與品牌在正式承諾前，須確認交付範圍、資料使用、價格、退款及責任。擬議服務不代表已簽合作、既有收入、商戶權益或平台審批。</w:t>
      </w:r>
    </w:p>
    <w:p>
      <w:r>
        <w:t>核心平台積分不可轉讓、無現金價值，也不承諾兌換未來代幣。基本活動參與不依賴錢包、購買或廣告；休息不扣分。營運方與合作方按已確認條款履約，外部服務開通及發布另按相應操作授權執行。</w:t>
      </w:r>
    </w:p>
    <w:p>
      <w:pPr>
        <w:pStyle w:val="Heading2"/>
      </w:pPr>
      <w:r>
        <w:t>官方資料</w:t>
      </w:r>
    </w:p>
    <w:p>
      <w:pPr>
        <w:pStyle w:val="ListBullet"/>
        <w:spacing w:after="120"/>
      </w:pPr>
      <w:r/>
      <w:hyperlink r:id="rId13">
        <w:r>
          <w:rPr>
            <w:color w:val="11616B"/>
          </w:rPr>
          <w:t>Apple App Review Guidelines</w:t>
        </w:r>
      </w:hyperlink>
      <w:r>
        <w:t>：App 內付款及健康資料使用條件。</w:t>
      </w:r>
    </w:p>
    <w:p>
      <w:pPr>
        <w:pStyle w:val="ListBullet"/>
        <w:spacing w:after="120"/>
      </w:pPr>
      <w:r/>
      <w:hyperlink r:id="rId12">
        <w:r>
          <w:rPr>
            <w:color w:val="11616B"/>
          </w:rPr>
          <w:t>Google AdMob 獎勵廣告政策</w:t>
        </w:r>
      </w:hyperlink>
      <w:r>
        <w:t>：獎勵類型、自願觀看及兌付要求。</w:t>
      </w:r>
    </w:p>
    <w:p>
      <w:r>
        <w:t>以上官方頁面於 2026 年 10 月 5 日核對，適用規則以實際推出時版本為準。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274" w:bottom="1008" w:left="127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年 10 月　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HEALTHLOOP　商業合作提案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wordWrap w:val="off"/>
      <w:snapToGrid w:val="0"/>
      <w:spacing w:line="320" w:lineRule="exact" w:after="140"/>
    </w:pPr>
    <w:rPr>
      <w:rFonts w:ascii="Arial Unicode MS" w:hAnsi="Arial Unicode MS" w:eastAsia="Arial Unicode MS" w:cs="Arial Unicode MS"/>
      <w:b w:val="0"/>
      <w:color w:val="000000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off"/>
      <w:snapToGrid w:val="0"/>
    </w:pPr>
    <w:rPr>
      <w:rFonts w:ascii="Arial Unicode MS" w:hAnsi="Arial Unicode MS" w:eastAsia="Arial Unicode MS" w:cs="Arial Unicode MS"/>
      <w:b w:val="0"/>
      <w:color w:val="000000"/>
      <w:sz w:val="16"/>
      <w:lang w:val="zh-TW"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ordWrap w:val="off"/>
      <w:snapToGrid w:val="0"/>
    </w:pPr>
    <w:rPr>
      <w:rFonts w:ascii="Arial Unicode MS" w:hAnsi="Arial Unicode MS" w:eastAsia="Arial Unicode MS" w:cs="Arial Unicode MS"/>
      <w:b w:val="0"/>
      <w:color w:val="000000"/>
      <w:sz w:val="16"/>
      <w:lang w:val="zh-TW"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460" w:lineRule="exact"/>
      <w:outlineLvl w:val="0"/>
      <w:wordWrap w:val="off"/>
      <w:snapToGrid w:val="0"/>
    </w:pPr>
    <w:rPr>
      <w:rFonts w:ascii="Arial Unicode MS" w:hAnsi="Arial Unicode MS" w:eastAsia="Arial Unicode MS" w:cs="Arial Unicode MS"/>
      <w:b/>
      <w:bCs/>
      <w:color w:val="000000"/>
      <w:sz w:val="36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60" w:lineRule="exact"/>
      <w:outlineLvl w:val="1"/>
      <w:wordWrap w:val="off"/>
      <w:snapToGrid w:val="0"/>
    </w:pPr>
    <w:rPr>
      <w:rFonts w:ascii="Arial Unicode MS" w:hAnsi="Arial Unicode MS" w:eastAsia="Arial Unicode MS" w:cs="Arial Unicode MS"/>
      <w:b/>
      <w:bCs/>
      <w:color w:val="000000"/>
      <w:sz w:val="25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  <w:keepNext/>
      <w:wordWrap w:val="off"/>
      <w:snapToGrid w:val="0"/>
    </w:pPr>
    <w:rPr>
      <w:rFonts w:ascii="Arial Unicode MS" w:hAnsi="Arial Unicode MS" w:eastAsia="Arial Unicode MS" w:cs="Arial Unicode MS"/>
      <w:b/>
      <w:color w:val="000000"/>
      <w:spacing w:val="5"/>
      <w:kern w:val="28"/>
      <w:sz w:val="50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off"/>
      <w:snapToGrid w:val="0"/>
    </w:pPr>
    <w:rPr>
      <w:rFonts w:ascii="Arial Unicode MS" w:hAnsi="Arial Unicode MS" w:eastAsia="Arial Unicode MS" w:cs="Arial Unicode MS"/>
      <w:b w:val="0"/>
      <w:i w:val="0"/>
      <w:iCs/>
      <w:color w:val="000000"/>
      <w:spacing w:val="15"/>
      <w:sz w:val="24"/>
      <w:szCs w:val="24"/>
      <w:lang w:val="zh-TW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wordWrap w:val="off"/>
      <w:snapToGrid w:val="0"/>
    </w:pPr>
    <w:rPr>
      <w:rFonts w:ascii="Arial Unicode MS" w:hAnsi="Arial Unicode MS" w:eastAsia="Arial Unicode MS" w:cs="Arial Unicode MS"/>
      <w:b w:val="0"/>
      <w:color w:val="000000"/>
      <w:sz w:val="22"/>
      <w:lang w:val="zh-TW" w:eastAsia="zh-T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app-store/review/guidelines/#in-app-purchase" TargetMode="External"/><Relationship Id="rId12" Type="http://schemas.openxmlformats.org/officeDocument/2006/relationships/hyperlink" Target="https://support.google.com/admob/answer/7313578?hl=en" TargetMode="External"/><Relationship Id="rId13" Type="http://schemas.openxmlformats.org/officeDocument/2006/relationships/hyperlink" Target="https://developer.apple.com/app-store/review/guidel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HealthLoop 健康獎勵平台商業提案</dc:title>
  <dc:subject>商業合作提案</dc:subject>
  <dc:creator>HealthLoop</dc:creator>
  <cp:keywords>HealthLoop, Business Proposal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