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HealthLoop Web3 與代幣經濟</w:t>
      </w:r>
    </w:p>
    <w:p>
      <w:pPr>
        <w:pStyle w:val="Subtitle"/>
      </w:pPr>
      <w:r>
        <w:t>Web3 and Tokenomics</w:t>
      </w:r>
    </w:p>
    <w:p>
      <w:r>
        <w:t>獨立概念方案　｜　2026 年 10 月 5 日</w:t>
      </w:r>
    </w:p>
    <w:p>
      <w:pPr>
        <w:pStyle w:val="Heading1"/>
      </w:pPr>
      <w:r>
        <w:t>Web3 在 HealthLoop 中的定位</w:t>
      </w:r>
    </w:p>
    <w:p>
      <w:r>
        <w:t>HealthLoop 以健康習慣服務為核心，透過任務、活動回饋與個人成就，支持使用者建立日常節奏。Web3 研究則聚焦錢包驗證、可核對的分發紀錄，以及受預算約束的數位資產機制。</w:t>
      </w:r>
    </w:p>
    <w:p>
      <w:r>
        <w:t>本文件說明獨立 Web3 Lab 與候選代幣經濟概念。供應量、分配比例、獎勵額度及治理參數均為研究假設，不代表已發行資產、最終權利條款、上線安排或投資回報。</w:t>
      </w:r>
    </w:p>
    <w:p>
      <w:pPr>
        <w:pStyle w:val="Heading2"/>
      </w:pPr>
      <w:r>
        <w:t>三種回饋的用途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類別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用途與特性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與其他系統的關係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核心平台積分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原生 App 內的非現金、不可轉讓回饋；依活動規則核算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不兌換加密貨幣，沒有未來換幣承諾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TEST-HLT 測試幣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獨立 Lab 的技術測試單位，無價值、無兌換權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只來自合成任務，不承接健康活動或核心積分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候選未來代幣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研究固定供應、分配、消耗及治理的獨立模型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未發行；採用與否另行決策，不繼承積分或測試幣餘額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pPr>
        <w:pStyle w:val="Heading2"/>
      </w:pPr>
      <w:r>
        <w:t>原生 App 與數位收藏</w:t>
      </w:r>
    </w:p>
    <w:p>
      <w:r>
        <w:t>首發原生產品採用健康活動、平台積分及伺服器核實的個人成就。基本任務不要求錢包、購買數位收藏或觀看廣告，休息不受懲罰。</w:t>
      </w:r>
    </w:p>
    <w:p>
      <w:r>
        <w:t>NFT 持有權、錢包連接與鏈上餘額不解鎖原生功能、不改變活動資格，也不提高獎勵倍率與上限。平台徽章是個人的 App 內成就，並非 NFT。這項產品邊界與 Apple 對 NFT 持有權及加密錢包解鎖功能的限制一致，不表示已取得審批。</w:t>
      </w:r>
      <w:hyperlink r:id="rId11">
        <w:r>
          <w:rPr>
            <w:color w:val="11616B"/>
          </w:rPr>
          <w:t>Apple 審核指引</w:t>
        </w:r>
      </w:hyperlink>
      <w:r/>
    </w:p>
    <w:p>
      <w:r>
        <w:t>NFT 是具有獨立識別碼的非同質化代幣，可用於識別數位收藏。日後若研究唯讀收藏展示，須與健康紀錄、獎勵計算及 Lab 分開。廣告利益另設經驗證的封閉用途，與活動積分帳務分開；原生 App 不提供健康活動或積分通往代幣的路徑。</w:t>
      </w:r>
    </w:p>
    <w:p>
      <w:pPr>
        <w:pStyle w:val="Heading1"/>
        <w:pageBreakBefore/>
      </w:pPr>
      <w:r>
        <w:t>獨立 Web3 Lab 的運作概念</w:t>
      </w:r>
    </w:p>
    <w:p>
      <w:r>
        <w:t>Lab 擬讓研究者在清楚標示的實驗環境中，理解錢包登入、一次性領取及交易確認。它使用自己的身份、資料庫、設定與憑證，只處理合成任務。</w:t>
      </w:r>
    </w:p>
    <w:p>
      <w:r>
        <w:t xml:space="preserve">遠端測試網僅限 </w:t>
      </w:r>
      <w:r>
        <w:rPr>
          <w:b/>
        </w:rPr>
        <w:t>Base Sepolia，鏈 ID 84532</w:t>
      </w:r>
      <w:r>
        <w:t>；本地合約測試使用隔離環境。</w:t>
      </w:r>
      <w:hyperlink r:id="rId12">
        <w:r>
          <w:rPr>
            <w:color w:val="11616B"/>
          </w:rPr>
          <w:t>Base 網絡資料</w:t>
        </w:r>
      </w:hyperlink>
      <w:r/>
    </w:p>
    <w:p>
      <w:r>
        <w:t>介面持續標示「測試網實驗：代幣無價值，無兌換權，不代表未來主網權益」。Lab 及真實錢包整合仍屬擬議能力，須取得相應驗收證據。</w:t>
      </w:r>
    </w:p>
    <w:p>
      <w:pPr>
        <w:pStyle w:val="Heading2"/>
      </w:pPr>
      <w:r>
        <w:t>一次完整的測試體驗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使用者體驗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系統應核對的內容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連接錢包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選擇 MetaMask 或 Trust Wallet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網絡、地址與帳戶變更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驗證擁有權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閱讀並簽署登入訊息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伺服器單次挑戰、網域、鏈及到期時間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完成合成任務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操作明確標示的測試任務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Lab 自己的規則與領取資格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領取測試幣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查看數量、接收地址及測試 gas 費用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授權金額、有效期、合約及防重領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查看結果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分辨等待、失敗與確認狀態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正確網絡的交易回執及匹配事件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pPr>
        <w:pStyle w:val="Heading2"/>
      </w:pPr>
      <w:r>
        <w:t>驗證地址控制權</w:t>
      </w:r>
    </w:p>
    <w:p>
      <w:r>
        <w:t>錢包登入以訊息簽署驗證地址控制權，無須交出私鑰。伺服器應確認訊息來自預期網域、鏈及有效時段，並只接受每次挑戰一次。切換錢包帳戶後須重新驗證；HealthLoop 不要求、收集或儲存私鑰與助記詞。</w:t>
      </w:r>
    </w:p>
    <w:p>
      <w:r>
        <w:t>領取資格與金額由 Lab 伺服器決定，瀏覽器不能自行指定。每個領取編號只可使用一次，重新整理、重試或同時提交均不得重複發放。單憑交易雜湊不足以判定成功，仍須核對回執、接收地址及事件。</w:t>
      </w:r>
    </w:p>
    <w:p>
      <w:pPr>
        <w:pStyle w:val="Heading2"/>
      </w:pPr>
      <w:r>
        <w:t>資料隔離與驗收</w:t>
      </w:r>
    </w:p>
    <w:p>
      <w:r>
        <w:t>Lab 不讀取 HealthKit，不使用真實健康活動、核心帳戶、核心積分或健康衍生證明。鏈上不放置健康數據、健康雜湊或可連結核心健康身份的資料。</w:t>
      </w:r>
    </w:p>
    <w:p>
      <w:r>
        <w:t>驗收應涵蓋拒簽、錯鏈、過期、重播、帳戶切換及失敗重試。實際錢包兼容性與裝置操作須分別測試；本地模擬不能替代真實錢包驗收。遠端測試交易亦須在明確授權後執行。</w:t>
      </w:r>
    </w:p>
    <w:p>
      <w:pPr>
        <w:pStyle w:val="Heading1"/>
        <w:pageBreakBefore/>
      </w:pPr>
      <w:r>
        <w:t>候選 Tokenomics 的供應與分配</w:t>
      </w:r>
    </w:p>
    <w:p>
      <w:r>
        <w:t xml:space="preserve">Tokenomics 是一套關於代幣如何產生、交付、使用及管理的規則。候選模型以 </w:t>
      </w:r>
      <w:r>
        <w:rPr>
          <w:b/>
        </w:rPr>
        <w:t>一億單位最大累計鑄造量</w:t>
      </w:r>
      <w:r>
        <w:t xml:space="preserve"> 為基準，方便比較資源分配與長期供應。這個數字與估值、融資額或交易價格無關，也不是 TEST-HLT 的發行參數。</w:t>
      </w:r>
    </w:p>
    <w:p>
      <w:pPr>
        <w:pStyle w:val="Heading2"/>
      </w:pPr>
      <w:r>
        <w:t>一億單位的候選分配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4320"/>
        <w:gridCol w:w="1440"/>
        <w:gridCol w:w="3600"/>
      </w:tblGrid>
      <w:tr>
        <w:trPr>
          <w:cantSplit/>
          <w:tblHeader/>
        </w:trPr>
        <w:tc>
          <w:tcPr>
            <w:tcW w:type="dxa" w:w="432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分配用途</w:t>
            </w:r>
          </w:p>
        </w:tc>
        <w:tc>
          <w:tcPr>
            <w:tcW w:type="dxa" w:w="144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比例</w:t>
            </w:r>
          </w:p>
        </w:tc>
        <w:tc>
          <w:tcPr>
            <w:tcW w:type="dxa" w:w="360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候選數量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參與者獎勵池</w:t>
            </w:r>
          </w:p>
        </w:tc>
        <w:tc>
          <w:tcPr>
            <w:tcW w:type="dxa" w:w="144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45%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45,000,000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長期國庫與營運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20%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20,000,000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團隊與核心貢獻者</w:t>
            </w:r>
          </w:p>
        </w:tc>
        <w:tc>
          <w:tcPr>
            <w:tcW w:type="dxa" w:w="144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15%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15,000,000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生態與真實服務合作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10,000,000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條件性市場流動性儲備</w:t>
            </w:r>
          </w:p>
        </w:tc>
        <w:tc>
          <w:tcPr>
            <w:tcW w:type="dxa" w:w="144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5,000,000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安全審查及應急儲備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5,000,000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合計</w:t>
            </w:r>
          </w:p>
        </w:tc>
        <w:tc>
          <w:tcPr>
            <w:tcW w:type="dxa" w:w="144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100%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sz w:val="21"/>
              </w:rPr>
              <w:t>100,000,000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t>獎勵池按已批准週期預算釋放；國庫支出須有用途與多簽授權；生態份額配合可核實的服務交付。流動性儲備在獨立審查及批准前保持受限，不構成上市或保價承諾。所有份額納入同一供應帳目。</w:t>
      </w:r>
    </w:p>
    <w:p>
      <w:pPr>
        <w:pStyle w:val="Heading2"/>
      </w:pPr>
      <w:r>
        <w:t>鑄造與釋放</w:t>
      </w:r>
    </w:p>
    <w:p>
      <w:r>
        <w:t>候選設計是在創世時一次鑄造一億單位，存入分配合約或受限地址，其後不保留增發能力。獎勵釋放只是交付既有庫存，不因參與人數增加而自動創造新幣。</w:t>
      </w:r>
    </w:p>
    <w:p>
      <w:r>
        <w:t>總供應、鎖定份額、未投放庫存及已分發份額分開披露。實際流通量須有公開一致的計算口徑，並交代可動用但未售出的國庫份額；不能把尚未投放寫成沒有未來供應壓力。</w:t>
      </w:r>
    </w:p>
    <w:p>
      <w:pPr>
        <w:pStyle w:val="Heading2"/>
      </w:pPr>
      <w:r>
        <w:t>團隊歸屬示例</w:t>
      </w:r>
    </w:p>
    <w:p>
      <w:r>
        <w:t>候選條款為歸屬起點後首 12 個月不釋放，其後 36 個月線性歸屬，第 12 個月不補發等待期份額。依此計法，第 24 個月累計歸屬 500 萬單位，第 48 個月完成 1,500 萬單位。</w:t>
      </w:r>
    </w:p>
    <w:p>
      <w:r>
        <w:t>月數是經濟條款假設，並非開發或上市排期。退出、未履約及未歸屬份額的處理須預先定義；新增分配另列，避免混入既有安排。所有供應、歸屬及權限規則仍須由合約及獨立審查驗證。</w:t>
      </w:r>
    </w:p>
    <w:p>
      <w:pPr>
        <w:pStyle w:val="Heading1"/>
        <w:pageBreakBefore/>
      </w:pPr>
      <w:r>
        <w:t>獎勵預算與代幣效用</w:t>
      </w:r>
    </w:p>
    <w:p>
      <w:pPr>
        <w:pStyle w:val="Heading2"/>
      </w:pPr>
      <w:r>
        <w:t>以預算限制每期分配</w:t>
      </w:r>
    </w:p>
    <w:p>
      <w:r>
        <w:t xml:space="preserve">以下為獨立模型的合成參與情境，不使用原生 App 健康資料或活動積分作領取資格。假設每月可分配上限為 </w:t>
      </w:r>
      <w:r>
        <w:rPr>
          <w:b/>
        </w:rPr>
        <w:t>300,000 單位</w:t>
      </w:r>
      <w:r>
        <w:t xml:space="preserve">，個人上限為 </w:t>
      </w:r>
      <w:r>
        <w:rPr>
          <w:b/>
        </w:rPr>
        <w:t>60 單位</w:t>
      </w:r>
      <w:r>
        <w:t>；實際額度同時受週期上限、獎勵池未承諾餘額及批准額度約束。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456"/>
        <w:gridCol w:w="2952"/>
        <w:gridCol w:w="2952"/>
      </w:tblGrid>
      <w:tr>
        <w:trPr>
          <w:cantSplit/>
          <w:tblHeader/>
        </w:trPr>
        <w:tc>
          <w:tcPr>
            <w:tcW w:type="dxa" w:w="3456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同權合格參與人數</w:t>
            </w:r>
          </w:p>
        </w:tc>
        <w:tc>
          <w:tcPr>
            <w:tcW w:type="dxa" w:w="295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每人示例分配</w:t>
            </w:r>
          </w:p>
        </w:tc>
        <w:tc>
          <w:tcPr>
            <w:tcW w:type="dxa" w:w="295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當月合計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5,000</w:t>
            </w:r>
          </w:p>
        </w:tc>
        <w:tc>
          <w:tcPr>
            <w:tcW w:type="dxa" w:w="295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60 單位</w:t>
            </w:r>
          </w:p>
        </w:tc>
        <w:tc>
          <w:tcPr>
            <w:tcW w:type="dxa" w:w="295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300,000 單位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10,000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30 單位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300,000 單位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20,000</w:t>
            </w:r>
          </w:p>
        </w:tc>
        <w:tc>
          <w:tcPr>
            <w:tcW w:type="dxa" w:w="295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15 單位</w:t>
            </w:r>
          </w:p>
        </w:tc>
        <w:tc>
          <w:tcPr>
            <w:tcW w:type="dxa" w:w="295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300,000 單位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t>一般計法為按合格權重分配當期額度，再套用個人上限，並以最小代幣單位向下取整。沒有合格資格時不發放；取整或觸及上限後的餘額留在池中，不強行分完。</w:t>
      </w:r>
    </w:p>
    <w:p>
      <w:r>
        <w:t>參與人數增加時，人均份額可以下降，不能把獎勵描述為固定工資。資格、權重、上限及到期規則須在週期前公布，已確認的承諾不得隨意追溯改寫。</w:t>
      </w:r>
    </w:p>
    <w:p>
      <w:pPr>
        <w:pStyle w:val="Heading2"/>
      </w:pPr>
      <w:r>
        <w:t>效用來自可交付服務</w:t>
      </w:r>
    </w:p>
    <w:p>
      <w:r>
        <w:t>未來獨立產品可研究以代幣換取活動名額、實體周邊或其他服務。每一用途須先確定提供者、庫存、所需單位、有效期、履約成本與退款安排；概念用途不等於現成權益，TEST-HLT 本身沒有這些兌換權。</w:t>
      </w:r>
    </w:p>
    <w:p>
      <w:r>
        <w:t>候選消耗流程為「選擇服務 → 限額授權 → 預留資源 → 完成履約 → 按規則銷毀」。未履約時撤銷尚未使用的授權；已轉入而尚未銷毀的代幣按規則退還。管理者不應有任意銷毀使用者餘額的權力。</w:t>
      </w:r>
    </w:p>
    <w:p>
      <w:pPr>
        <w:pStyle w:val="Heading2"/>
      </w:pPr>
      <w:r>
        <w:t>供應與現金分開管理</w:t>
      </w:r>
    </w:p>
    <w:p>
      <w:r/>
      <w:r>
        <w:rPr>
          <w:b/>
        </w:rPr>
        <w:t>目前總供應＝累計鑄造量－累計銷毀量</w:t>
      </w:r>
      <w:r/>
    </w:p>
    <w:p>
      <w:r>
        <w:t>在此固定累計供應設計下，銷毀不恢復增發額度，也不補充獎勵池。它不產生現金收入，亦不保證價格上升；沒有自願服務消耗時，銷毀量可以為零。</w:t>
      </w:r>
    </w:p>
    <w:p>
      <w:r>
        <w:t>營運及履約仍需真實可用現金，自家代幣估值不能代替付款能力。新增福利以批准額度、實際服務收入及扣除既有義務後的現金承受能力為限，已承諾的服務則保留履約資源。</w:t>
      </w:r>
    </w:p>
    <w:p>
      <w:pPr>
        <w:pStyle w:val="Heading1"/>
        <w:pageBreakBefore/>
      </w:pPr>
      <w:r>
        <w:t>治理與透明度</w:t>
      </w:r>
    </w:p>
    <w:p>
      <w:pPr>
        <w:pStyle w:val="Heading2"/>
      </w:pPr>
      <w:r>
        <w:t>可核對的權限安排</w:t>
      </w:r>
    </w:p>
    <w:p>
      <w:r>
        <w:t>候選治理採受限預算、多重簽署與公開變更紀錄。國庫支出、重大參數及關鍵權限調整須有獨立覆核，保留批准及執行紀錄。</w:t>
      </w:r>
    </w:p>
    <w:p>
      <w:r>
        <w:t>「五名獨立簽署人中至少三人同意」及「重大變更延遲 48 小時執行」是可研究的參數，採用前須確定人員獨立性、密鑰與緊急流程。多簽及時間鎖不能代替外部安全審查。</w:t>
      </w:r>
    </w:p>
    <w:p>
      <w:r>
        <w:t>緊急權限只暫停新增領取，不同時賦予增發、任意沒收代幣或追溯修改歸屬的能力。待核實、申訴、重試與恢復亦須有明確規則。</w:t>
      </w:r>
    </w:p>
    <w:p>
      <w:pPr>
        <w:pStyle w:val="Heading2"/>
      </w:pPr>
      <w:r>
        <w:t>成長與不利情境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模型影響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候選處理原則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同權人數由一萬增至兩萬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示例人均由 30 降至 15 單位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維持總額度，事前說明分配方式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重複身份或異常領取增加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預算可能流向不合格請求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先核實、限制新增領取並保留申訴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服務需求或現金收入下降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新服務補貼的承受能力下降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調整未承諾項目，保留履約資源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費用或系統故障增加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領取成本與等待時間上升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設定費用上限、清楚狀態及安全重試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市場價格大幅波動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資產參考價值改變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不承諾保價，不以額外發行補償跌幅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pPr>
        <w:pStyle w:val="Heading2"/>
      </w:pPr>
      <w:r>
        <w:t>持續披露</w:t>
      </w:r>
    </w:p>
    <w:p>
      <w:r>
        <w:t>透明度報告分開列示累計鑄造、總供應、鎖定份額、可動用國庫、實際流通、週期發放、銷毀及剩餘獎勵庫存。現金、負債與服務履約另列，避免把代幣數量當成收入。</w:t>
      </w:r>
    </w:p>
    <w:p>
      <w:r>
        <w:t>同時披露參數變更、重要合約事件、權限異動、異常損失及處理結果。測試、審查及合作狀態以實際證據表達。</w:t>
      </w:r>
    </w:p>
    <w:p>
      <w:pPr>
        <w:pStyle w:val="Heading2"/>
      </w:pPr>
      <w:r>
        <w:t>概念的適用範圍</w:t>
      </w:r>
    </w:p>
    <w:p>
      <w:r>
        <w:t>是否採用正式代幣，須經獨立的產品、平台、法律、商業及安全評估。現行實驗範圍不包含主網、公開發售、上市或保價安排；核心積分及 TEST-HLT 均不承諾轉換未來代幣。本文的供應、歸屬、預算及治理參數都是候選設計，沒有建立收款、購幣或投資安排。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274" w:bottom="1008" w:left="127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年 10 月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HEALTHLOOP　Web3 與代幣經濟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wordWrap w:val="off"/>
      <w:snapToGrid w:val="0"/>
      <w:spacing w:line="320" w:lineRule="exact" w:after="140"/>
    </w:pPr>
    <w:rPr>
      <w:rFonts w:ascii="Arial Unicode MS" w:hAnsi="Arial Unicode MS" w:eastAsia="Arial Unicode MS" w:cs="Arial Unicode MS"/>
      <w:b w:val="0"/>
      <w:color w:val="000000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16"/>
      <w:lang w:val="zh-TW"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16"/>
      <w:lang w:val="zh-TW"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60" w:lineRule="exact"/>
      <w:outlineLvl w:val="0"/>
      <w:wordWrap w:val="off"/>
      <w:snapToGrid w:val="0"/>
    </w:pPr>
    <w:rPr>
      <w:rFonts w:ascii="Arial Unicode MS" w:hAnsi="Arial Unicode MS" w:eastAsia="Arial Unicode MS" w:cs="Arial Unicode MS"/>
      <w:b/>
      <w:bCs/>
      <w:color w:val="000000"/>
      <w:sz w:val="36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60" w:lineRule="exact"/>
      <w:outlineLvl w:val="1"/>
      <w:wordWrap w:val="off"/>
      <w:snapToGrid w:val="0"/>
    </w:pPr>
    <w:rPr>
      <w:rFonts w:ascii="Arial Unicode MS" w:hAnsi="Arial Unicode MS" w:eastAsia="Arial Unicode MS" w:cs="Arial Unicode MS"/>
      <w:b/>
      <w:bCs/>
      <w:color w:val="000000"/>
      <w:sz w:val="25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keepNext/>
      <w:wordWrap w:val="off"/>
      <w:snapToGrid w:val="0"/>
    </w:pPr>
    <w:rPr>
      <w:rFonts w:ascii="Arial Unicode MS" w:hAnsi="Arial Unicode MS" w:eastAsia="Arial Unicode MS" w:cs="Arial Unicode MS"/>
      <w:b/>
      <w:color w:val="000000"/>
      <w:spacing w:val="5"/>
      <w:kern w:val="28"/>
      <w:sz w:val="50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off"/>
      <w:snapToGrid w:val="0"/>
    </w:pPr>
    <w:rPr>
      <w:rFonts w:ascii="Arial Unicode MS" w:hAnsi="Arial Unicode MS" w:eastAsia="Arial Unicode MS" w:cs="Arial Unicode MS"/>
      <w:b w:val="0"/>
      <w:i w:val="0"/>
      <w:iCs/>
      <w:color w:val="000000"/>
      <w:spacing w:val="15"/>
      <w:sz w:val="24"/>
      <w:szCs w:val="24"/>
      <w:lang w:val="zh-TW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22"/>
      <w:lang w:val="zh-TW" w:eastAsia="zh-T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app-store/review/guidelines/#in-app-purchase" TargetMode="External"/><Relationship Id="rId12" Type="http://schemas.openxmlformats.org/officeDocument/2006/relationships/hyperlink" Target="https://docs.base.org/get-started/connect-to-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HealthLoop Web3 與代幣經濟</dc:title>
  <dc:subject>Web3 與代幣經濟</dc:subject>
  <dc:creator>HealthLoop</dc:creator>
  <cp:keywords>HealthLoop, Web3 and Tokenomics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