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The purpose of translaminar imaging </w:t>
      </w:r>
      <w:r>
        <w:rPr>
          <w:rFonts w:ascii="Open Sans"/>
          <w:sz w:val="20"/>
          <w:szCs w:val="20"/>
          <w:rtl w:val="0"/>
          <w:lang w:val="en-US"/>
        </w:rPr>
        <w:t xml:space="preserve">of olfactory cortex </w:t>
      </w:r>
      <w:r>
        <w:rPr>
          <w:rFonts w:ascii="Open Sans"/>
          <w:sz w:val="20"/>
          <w:szCs w:val="20"/>
          <w:rtl w:val="0"/>
          <w:lang w:val="en-US"/>
        </w:rPr>
        <w:t>is to show that stimuli or stimulus features are differentially represented by different layers or by different groups of neurons within each layer.</w:t>
      </w:r>
      <w:r>
        <w:rPr>
          <w:rFonts w:hAnsi="Open Sans" w:hint="default"/>
          <w:sz w:val="20"/>
          <w:szCs w:val="20"/>
          <w:rtl w:val="0"/>
        </w:rPr>
        <w:t> </w:t>
      </w:r>
      <w:r>
        <w:rPr>
          <w:rFonts w:ascii="Open Sans"/>
          <w:sz w:val="20"/>
          <w:szCs w:val="20"/>
          <w:rtl w:val="0"/>
          <w:lang w:val="en-US"/>
        </w:rPr>
        <w:t xml:space="preserve">Depending on what we find, the goal is to suggest </w:t>
      </w:r>
      <w:r>
        <w:rPr>
          <w:rFonts w:hAnsi="Open Sans" w:hint="default"/>
          <w:sz w:val="20"/>
          <w:szCs w:val="20"/>
          <w:rtl w:val="0"/>
        </w:rPr>
        <w:t> </w:t>
      </w:r>
      <w:r>
        <w:rPr>
          <w:rFonts w:ascii="Open Sans"/>
          <w:sz w:val="20"/>
          <w:szCs w:val="20"/>
          <w:rtl w:val="0"/>
          <w:lang w:val="en-US"/>
        </w:rPr>
        <w:t xml:space="preserve">how these differences may be exploited downstream of the piriform or suggest a </w:t>
      </w:r>
      <w:r>
        <w:rPr>
          <w:rFonts w:hAnsi="Open Sans" w:hint="default"/>
          <w:sz w:val="20"/>
          <w:szCs w:val="20"/>
          <w:rtl w:val="0"/>
        </w:rPr>
        <w:t> </w:t>
      </w:r>
      <w:r>
        <w:rPr>
          <w:rFonts w:ascii="Open Sans"/>
          <w:sz w:val="20"/>
          <w:szCs w:val="20"/>
          <w:rtl w:val="0"/>
          <w:lang w:val="en-US"/>
        </w:rPr>
        <w:t>local role for</w:t>
      </w:r>
      <w:r>
        <w:rPr>
          <w:rFonts w:hAnsi="Open Sans" w:hint="default"/>
          <w:sz w:val="20"/>
          <w:szCs w:val="20"/>
          <w:rtl w:val="0"/>
        </w:rPr>
        <w:t xml:space="preserve">  </w:t>
      </w:r>
      <w:r>
        <w:rPr>
          <w:rFonts w:ascii="Open Sans"/>
          <w:sz w:val="20"/>
          <w:szCs w:val="20"/>
          <w:rtl w:val="0"/>
          <w:lang w:val="en-US"/>
        </w:rPr>
        <w:t>interaction between layers in generating</w:t>
      </w:r>
      <w:r>
        <w:rPr>
          <w:rFonts w:hAnsi="Open Sans" w:hint="default"/>
          <w:sz w:val="20"/>
          <w:szCs w:val="20"/>
          <w:rtl w:val="0"/>
        </w:rPr>
        <w:t xml:space="preserve">  </w:t>
      </w:r>
      <w:r>
        <w:rPr>
          <w:rFonts w:ascii="Open Sans"/>
          <w:sz w:val="20"/>
          <w:szCs w:val="20"/>
          <w:rtl w:val="0"/>
          <w:lang w:val="en-US"/>
        </w:rPr>
        <w:t>odor-evoked activity.</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In functional studies of PIR cortex, LII/III is typically treated as a single entity despite evidence to the contrary from hodological and in vitro work. This work suggests that odors engage circuits that span LII/LIII primarily via LOT Ia. However, input from frontal cortical areas like OFC and Insula, as well as input from other limbic areas impinges primarily on LIII. This suggests that </w:t>
      </w:r>
      <w:r>
        <w:rPr>
          <w:rFonts w:hAnsi="Open Sans" w:hint="default"/>
          <w:sz w:val="20"/>
          <w:szCs w:val="20"/>
          <w:rtl w:val="0"/>
        </w:rPr>
        <w:t> </w:t>
      </w:r>
      <w:r>
        <w:rPr>
          <w:rFonts w:ascii="Open Sans"/>
          <w:sz w:val="20"/>
          <w:szCs w:val="20"/>
          <w:rtl w:val="0"/>
          <w:lang w:val="en-US"/>
        </w:rPr>
        <w:t xml:space="preserve">LII may be largely devoted to detection or encoding of odor identity while LIII may be required for attributing it with context. The fact that the cortical microcircuit spans layers, </w:t>
      </w:r>
      <w:r>
        <w:rPr>
          <w:rFonts w:hAnsi="Open Sans" w:hint="default"/>
          <w:sz w:val="20"/>
          <w:szCs w:val="20"/>
          <w:rtl w:val="0"/>
        </w:rPr>
        <w:t> </w:t>
      </w:r>
      <w:r>
        <w:rPr>
          <w:rFonts w:ascii="Open Sans"/>
          <w:sz w:val="20"/>
          <w:szCs w:val="20"/>
          <w:rtl w:val="0"/>
          <w:lang w:val="en-US"/>
        </w:rPr>
        <w:t xml:space="preserve">while inputs to this microcircuit are segregated by layer implies that translaminar circuits can be differentially engaged, reflecting the particular combination of active sources of input.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An </w:t>
      </w:r>
      <w:r>
        <w:rPr>
          <w:rFonts w:hAnsi="Open Sans" w:hint="default"/>
          <w:sz w:val="20"/>
          <w:szCs w:val="20"/>
          <w:rtl w:val="0"/>
        </w:rPr>
        <w:t> </w:t>
      </w:r>
      <w:r>
        <w:rPr>
          <w:rFonts w:ascii="Open Sans"/>
          <w:sz w:val="20"/>
          <w:szCs w:val="20"/>
          <w:rtl w:val="0"/>
          <w:lang w:val="en-US"/>
        </w:rPr>
        <w:t xml:space="preserve">odor representation requires translaminar processing of the incoming message. We know that the local contribution to the response </w:t>
      </w:r>
      <w:r>
        <w:rPr>
          <w:rFonts w:hAnsi="Open Sans" w:hint="default"/>
          <w:sz w:val="20"/>
          <w:szCs w:val="20"/>
          <w:rtl w:val="0"/>
        </w:rPr>
        <w:t> </w:t>
      </w:r>
      <w:r>
        <w:rPr>
          <w:rFonts w:ascii="Open Sans"/>
          <w:sz w:val="20"/>
          <w:szCs w:val="20"/>
          <w:rtl w:val="0"/>
          <w:lang w:val="en-US"/>
        </w:rPr>
        <w:t>is initiated by a small minority of mitral axon-recipient neurons that provide sufficient feedforward excitation, which, when combined with remaining sub threshold mitral inputs specifies the timing and identity of the evoked response. But it</w:t>
      </w:r>
      <w:r>
        <w:rPr>
          <w:rFonts w:hAnsi="Open Sans" w:hint="default"/>
          <w:sz w:val="20"/>
          <w:szCs w:val="20"/>
          <w:rtl w:val="0"/>
        </w:rPr>
        <w:t>’</w:t>
      </w:r>
      <w:r>
        <w:rPr>
          <w:rFonts w:ascii="Open Sans"/>
          <w:sz w:val="20"/>
          <w:szCs w:val="20"/>
          <w:rtl w:val="0"/>
          <w:lang w:val="en-US"/>
        </w:rPr>
        <w:t>s not clear whether this local contribution is initiated entirely via the bulb or whether central inputs to layer III also shape the response.</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Italic"/>
          <w:sz w:val="20"/>
          <w:szCs w:val="20"/>
          <w:rtl w:val="0"/>
          <w:lang w:val="en-US"/>
        </w:rPr>
        <w:t>If such a residual contribution is present, it will tell us something about the way LII/LIII are coupled in a way that the mitral-piriform connection cannot. This can then aid with the larger question of whether this interaction contributes to more interesting operations like synthetic representation of mixtures or encoding of identity/intensity.</w:t>
      </w:r>
      <w:r>
        <w:rPr>
          <w:rFonts w:hAnsi="Open Sans Italic" w:hint="default"/>
          <w:sz w:val="20"/>
          <w:szCs w:val="20"/>
          <w:rtl w:val="0"/>
        </w:rPr>
        <w:t> </w:t>
      </w:r>
    </w:p>
    <w:p>
      <w:pPr>
        <w:pStyle w:val="Default"/>
        <w:bidi w:val="0"/>
        <w:spacing w:line="340" w:lineRule="atLeast"/>
        <w:ind w:left="0" w:right="0" w:firstLine="0"/>
        <w:jc w:val="left"/>
        <w:rPr>
          <w:rFonts w:ascii="Open Sans Italic" w:cs="Open Sans Italic" w:hAnsi="Open Sans Italic" w:eastAsia="Open Sans Italic"/>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Italic"/>
          <w:sz w:val="20"/>
          <w:szCs w:val="20"/>
          <w:rtl w:val="0"/>
          <w:lang w:val="en-US"/>
        </w:rPr>
        <w:t>Experiment:</w:t>
      </w:r>
    </w:p>
    <w:p>
      <w:pPr>
        <w:pStyle w:val="Default"/>
        <w:bidi w:val="0"/>
        <w:spacing w:line="340" w:lineRule="atLeast"/>
        <w:ind w:left="0" w:right="0" w:firstLine="0"/>
        <w:jc w:val="left"/>
        <w:rPr>
          <w:rFonts w:ascii="Open Sans Italic" w:cs="Open Sans Italic" w:hAnsi="Open Sans Italic" w:eastAsia="Open Sans Italic"/>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rPr>
        <w:t xml:space="preserve">Monitor </w:t>
      </w:r>
      <w:r>
        <w:rPr>
          <w:rFonts w:hAnsi="Open Sans" w:hint="default"/>
          <w:sz w:val="20"/>
          <w:szCs w:val="20"/>
          <w:rtl w:val="0"/>
        </w:rPr>
        <w:t> </w:t>
      </w:r>
      <w:r>
        <w:rPr>
          <w:rFonts w:ascii="Open Sans"/>
          <w:sz w:val="20"/>
          <w:szCs w:val="20"/>
          <w:rtl w:val="0"/>
          <w:lang w:val="en-US"/>
        </w:rPr>
        <w:t>translaminar activity in the presence and absence of sniffing. Is there a residual interaction between layers? Removing sniffing could result in uniform changes in both layers or preferential changes in one but not the other.</w:t>
      </w:r>
      <w:r>
        <w:rPr>
          <w:rFonts w:hAnsi="Open Sans" w:hint="default"/>
          <w:sz w:val="20"/>
          <w:szCs w:val="20"/>
          <w:rtl w:val="0"/>
        </w:rPr>
        <w:t> </w:t>
      </w:r>
      <w:r>
        <w:rPr>
          <w:rFonts w:ascii="Open Sans"/>
          <w:sz w:val="20"/>
          <w:szCs w:val="20"/>
          <w:rtl w:val="0"/>
          <w:lang w:val="en-US"/>
        </w:rPr>
        <w:t xml:space="preserve">The former could be explained by global attenuation in excitatory drive to the network and would imply that LII and LIII operate primarily in concert. The latter could reflect partitioning of labor based on source of input, </w:t>
      </w:r>
      <w:r>
        <w:rPr>
          <w:rFonts w:hAnsi="Open Sans" w:hint="default"/>
          <w:sz w:val="20"/>
          <w:szCs w:val="20"/>
          <w:rtl w:val="0"/>
        </w:rPr>
        <w:t> </w:t>
      </w:r>
      <w:r>
        <w:rPr>
          <w:rFonts w:ascii="Open Sans"/>
          <w:sz w:val="20"/>
          <w:szCs w:val="20"/>
          <w:rtl w:val="0"/>
          <w:lang w:val="en-US"/>
        </w:rPr>
        <w:t>and would imply that LII/ LIII function is more modular.</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For example, spontaneous activity across LII/LIII can be abolished completely, can be attenuated, or can be biased in favor of internal inputs to Pir</w:t>
      </w:r>
      <w:r>
        <w:rPr>
          <w:rFonts w:ascii="Open Sans"/>
          <w:sz w:val="20"/>
          <w:szCs w:val="20"/>
          <w:rtl w:val="0"/>
          <w:lang w:val="en-US"/>
        </w:rPr>
        <w:t>iform</w:t>
      </w:r>
      <w:r>
        <w:rPr>
          <w:rFonts w:ascii="Open Sans"/>
          <w:sz w:val="20"/>
          <w:szCs w:val="20"/>
          <w:rtl w:val="0"/>
        </w:rPr>
        <w:t>.</w:t>
      </w:r>
      <w:r>
        <w:rPr>
          <w:rFonts w:hAnsi="Open Sans" w:hint="default"/>
          <w:sz w:val="20"/>
          <w:szCs w:val="20"/>
          <w:rtl w:val="0"/>
        </w:rPr>
        <w:t> </w:t>
      </w:r>
      <w:r>
        <w:rPr>
          <w:rFonts w:ascii="Open Sans"/>
          <w:sz w:val="20"/>
          <w:szCs w:val="20"/>
          <w:rtl w:val="0"/>
          <w:lang w:val="en-US"/>
        </w:rPr>
        <w:t xml:space="preserve">If we observe the first two possibilities, </w:t>
      </w:r>
      <w:r>
        <w:rPr>
          <w:rFonts w:hAnsi="Open Sans" w:hint="default"/>
          <w:sz w:val="20"/>
          <w:szCs w:val="20"/>
          <w:rtl w:val="0"/>
        </w:rPr>
        <w:t> </w:t>
      </w:r>
      <w:r>
        <w:rPr>
          <w:rFonts w:ascii="Open Sans"/>
          <w:sz w:val="20"/>
          <w:szCs w:val="20"/>
          <w:rtl w:val="0"/>
          <w:lang w:val="en-US"/>
        </w:rPr>
        <w:t xml:space="preserve">we would focus on </w:t>
      </w:r>
      <w:r>
        <w:rPr>
          <w:rFonts w:hAnsi="Open Sans" w:hint="default"/>
          <w:sz w:val="20"/>
          <w:szCs w:val="20"/>
          <w:rtl w:val="0"/>
        </w:rPr>
        <w:t> </w:t>
      </w:r>
      <w:r>
        <w:rPr>
          <w:rFonts w:ascii="Open Sans"/>
          <w:sz w:val="20"/>
          <w:szCs w:val="20"/>
          <w:rtl w:val="0"/>
          <w:lang w:val="en-US"/>
        </w:rPr>
        <w:t>the way in which active sampling sets the inter-laminar network state required for encoding sensory input.</w:t>
      </w:r>
      <w:r>
        <w:rPr>
          <w:rFonts w:hAnsi="Open Sans" w:hint="default"/>
          <w:sz w:val="20"/>
          <w:szCs w:val="20"/>
          <w:rtl w:val="0"/>
        </w:rPr>
        <w:t xml:space="preserve">  </w:t>
      </w:r>
      <w:r>
        <w:rPr>
          <w:rFonts w:ascii="Open Sans"/>
          <w:sz w:val="20"/>
          <w:szCs w:val="20"/>
          <w:rtl w:val="0"/>
          <w:lang w:val="en-US"/>
        </w:rPr>
        <w:t>If we observe the third option, and this is more likely, we can disentangle sampling effects from internal effects on spontaneous activity and determine the role these may have in shaping odor responses.</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Italic"/>
          <w:sz w:val="20"/>
          <w:szCs w:val="20"/>
          <w:rtl w:val="0"/>
          <w:lang w:val="en-US"/>
        </w:rPr>
        <w:t>Design:</w:t>
      </w:r>
      <w:r>
        <w:rPr>
          <w:rFonts w:hAnsi="Open Sans Italic" w:hint="default"/>
          <w:sz w:val="20"/>
          <w:szCs w:val="20"/>
          <w:rtl w:val="0"/>
        </w:rPr>
        <w:t> </w:t>
      </w: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The following approach let</w:t>
      </w:r>
      <w:r>
        <w:rPr>
          <w:rFonts w:hAnsi="Open Sans" w:hint="default"/>
          <w:sz w:val="20"/>
          <w:szCs w:val="20"/>
          <w:rtl w:val="0"/>
        </w:rPr>
        <w:t>’</w:t>
      </w:r>
      <w:r>
        <w:rPr>
          <w:rFonts w:ascii="Open Sans"/>
          <w:sz w:val="20"/>
          <w:szCs w:val="20"/>
          <w:rtl w:val="0"/>
          <w:lang w:val="en-US"/>
        </w:rPr>
        <w:t>s us distinguish between LII/LIII neurons, excitatory and inhibitory neurons, cortico-cortical neurons, and cortico-striatal neurons in the same FOV.</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Green retrobeads are delivered to striatum, read beads, to either anterior piriform or insula; haven</w:t>
      </w:r>
      <w:r>
        <w:rPr>
          <w:rFonts w:hAnsi="Open Sans" w:hint="default"/>
          <w:sz w:val="20"/>
          <w:szCs w:val="20"/>
          <w:rtl w:val="0"/>
        </w:rPr>
        <w:t>’</w:t>
      </w:r>
      <w:r>
        <w:rPr>
          <w:rFonts w:ascii="Open Sans"/>
          <w:sz w:val="20"/>
          <w:szCs w:val="20"/>
          <w:rtl w:val="0"/>
          <w:lang w:val="en-US"/>
        </w:rPr>
        <w:t>t decided yet. GC6 is delivered to posterior piriform which project to both of these targets. This is done in animals where excitatory neurons are labelled with tdtomato.</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1-2 weeks later, volumes spanning the LII/LIII boundary in posterior piriform cortex are acquired as we:</w:t>
      </w:r>
      <w:r>
        <w:rPr>
          <w:rFonts w:hAnsi="Open Sans" w:hint="default"/>
          <w:sz w:val="20"/>
          <w:szCs w:val="20"/>
          <w:rtl w:val="0"/>
        </w:rPr>
        <w:t xml:space="preserve">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1. toggle input from the olfactory periphery by turning off artificial sniffing </w:t>
      </w: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fr-FR"/>
        </w:rPr>
        <w:t xml:space="preserve">2. present 15 unique odors </w:t>
      </w: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3. present 4 unique odors across 4 orders of magnitude each </w:t>
      </w:r>
    </w:p>
    <w:p>
      <w:pPr>
        <w:pStyle w:val="Default"/>
        <w:bidi w:val="0"/>
        <w:spacing w:line="340" w:lineRule="atLeast"/>
        <w:ind w:left="0" w:right="0" w:firstLine="0"/>
        <w:jc w:val="left"/>
        <w:rPr>
          <w:rFonts w:ascii="Open Sans" w:cs="Open Sans" w:hAnsi="Open Sans" w:eastAsia="Open Sans"/>
          <w:sz w:val="20"/>
          <w:szCs w:val="20"/>
          <w:rtl w:val="0"/>
        </w:rPr>
      </w:pPr>
      <w:r>
        <w:rPr>
          <w:rFonts w:ascii="Open Sans"/>
          <w:sz w:val="20"/>
          <w:szCs w:val="20"/>
          <w:rtl w:val="0"/>
          <w:lang w:val="en-US"/>
        </w:rPr>
        <w:t xml:space="preserve">4. present a set of binary mixtures as well their constituent odors </w:t>
      </w:r>
    </w:p>
    <w:p>
      <w:pPr>
        <w:pStyle w:val="Default"/>
        <w:bidi w:val="0"/>
        <w:spacing w:line="340" w:lineRule="atLeast"/>
        <w:ind w:left="0" w:right="0" w:firstLine="0"/>
        <w:jc w:val="left"/>
        <w:rPr>
          <w:rFonts w:ascii="Open Sans" w:cs="Open Sans" w:hAnsi="Open Sans" w:eastAsia="Open Sans"/>
          <w:sz w:val="20"/>
          <w:szCs w:val="20"/>
          <w:rtl w:val="0"/>
        </w:rPr>
      </w:pPr>
    </w:p>
    <w:p>
      <w:pPr>
        <w:pStyle w:val="Default"/>
        <w:bidi w:val="0"/>
        <w:spacing w:line="340" w:lineRule="atLeast"/>
        <w:ind w:left="0" w:right="0" w:firstLine="0"/>
        <w:jc w:val="left"/>
        <w:rPr>
          <w:rtl w:val="0"/>
        </w:rPr>
      </w:pPr>
      <w:r>
        <w:rPr>
          <w:rFonts w:ascii="Open Sans" w:cs="Open Sans" w:hAnsi="Open Sans" w:eastAsia="Open Sans"/>
          <w:sz w:val="20"/>
          <w:szCs w:val="20"/>
          <w:rtl w:val="0"/>
        </w:rPr>
      </w:r>
    </w:p>
    <w:sectPr>
      <w:headerReference w:type="default" r:id="rId4"/>
      <w:footerReference w:type="default" r:id="rId5"/>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Open Sans">
    <w:charset w:val="00"/>
    <w:family w:val="roman"/>
    <w:pitch w:val="default"/>
  </w:font>
  <w:font w:name="Open Sans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