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79DF7" w14:textId="77777777" w:rsidR="00687DC9" w:rsidRPr="00500913" w:rsidRDefault="00687DC9" w:rsidP="00687DC9">
      <w:pPr>
        <w:spacing w:before="180" w:after="180" w:line="240" w:lineRule="auto"/>
        <w:jc w:val="center"/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</w:pPr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>References</w:t>
      </w:r>
    </w:p>
    <w:p w14:paraId="33B3DF61" w14:textId="77777777" w:rsidR="00687DC9" w:rsidRPr="00500913" w:rsidRDefault="00687DC9" w:rsidP="00687DC9">
      <w:pPr>
        <w:spacing w:before="180" w:after="180" w:line="240" w:lineRule="auto"/>
        <w:jc w:val="center"/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</w:pPr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> </w:t>
      </w:r>
    </w:p>
    <w:p w14:paraId="168D4D21" w14:textId="77777777" w:rsidR="00687DC9" w:rsidRPr="00500913" w:rsidRDefault="00687DC9" w:rsidP="00687DC9">
      <w:pPr>
        <w:spacing w:after="0" w:line="240" w:lineRule="auto"/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</w:pPr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 xml:space="preserve">Andringa, S., &amp; </w:t>
      </w:r>
      <w:proofErr w:type="spellStart"/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>Godfroid</w:t>
      </w:r>
      <w:proofErr w:type="spellEnd"/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>, A. (2020a). Sampling bias and the problem of generalizability in applied linguistics. </w:t>
      </w:r>
      <w:r w:rsidRPr="00500913">
        <w:rPr>
          <w:rFonts w:ascii="Roboto" w:eastAsia="Times New Roman" w:hAnsi="Roboto" w:cs="Times New Roman"/>
          <w:i/>
          <w:iCs/>
          <w:color w:val="222222"/>
          <w:kern w:val="0"/>
          <w:shd w:val="clear" w:color="auto" w:fill="FFFFFF"/>
          <w14:ligatures w14:val="none"/>
        </w:rPr>
        <w:t>Annual Review of Applied Linguistics  40,</w:t>
      </w:r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> 134—142. </w:t>
      </w:r>
      <w:hyperlink r:id="rId4" w:tgtFrame="_blank" w:history="1">
        <w:r w:rsidRPr="00500913">
          <w:rPr>
            <w:rFonts w:ascii="Roboto" w:eastAsia="Times New Roman" w:hAnsi="Roboto" w:cs="Times New Roman"/>
            <w:color w:val="2773CB"/>
            <w:kern w:val="0"/>
            <w:u w:val="single"/>
            <w:shd w:val="clear" w:color="auto" w:fill="FFFFFF"/>
            <w14:ligatures w14:val="none"/>
          </w:rPr>
          <w:t>https://doi.org/10.1017/S0267190520000033</w:t>
        </w:r>
        <w:r w:rsidRPr="00500913">
          <w:rPr>
            <w:rFonts w:ascii="Roboto" w:eastAsia="Times New Roman" w:hAnsi="Roboto" w:cs="Times New Roman"/>
            <w:color w:val="2773CB"/>
            <w:kern w:val="0"/>
            <w:u w:val="single"/>
            <w:bdr w:val="none" w:sz="0" w:space="0" w:color="auto" w:frame="1"/>
            <w:shd w:val="clear" w:color="auto" w:fill="FFFFFF"/>
            <w14:ligatures w14:val="none"/>
          </w:rPr>
          <w:t>Links to an external site.</w:t>
        </w:r>
      </w:hyperlink>
    </w:p>
    <w:p w14:paraId="45D4AA01" w14:textId="77777777" w:rsidR="00687DC9" w:rsidRPr="00500913" w:rsidRDefault="00687DC9" w:rsidP="00687DC9">
      <w:pPr>
        <w:spacing w:before="180" w:after="180" w:line="240" w:lineRule="auto"/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</w:pPr>
      <w:proofErr w:type="spellStart"/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>Etikan</w:t>
      </w:r>
      <w:proofErr w:type="spellEnd"/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 xml:space="preserve">, I., Musa, S. A., &amp; </w:t>
      </w:r>
      <w:proofErr w:type="spellStart"/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>Alkassim</w:t>
      </w:r>
      <w:proofErr w:type="spellEnd"/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>, R. S. (2016). Comparison of convenience sampling and purposive sampling.</w:t>
      </w:r>
      <w:r w:rsidRPr="00500913">
        <w:rPr>
          <w:rFonts w:ascii="Roboto" w:eastAsia="Times New Roman" w:hAnsi="Roboto" w:cs="Times New Roman"/>
          <w:i/>
          <w:iCs/>
          <w:color w:val="222222"/>
          <w:kern w:val="0"/>
          <w:shd w:val="clear" w:color="auto" w:fill="FFFFFF"/>
          <w14:ligatures w14:val="none"/>
        </w:rPr>
        <w:t> American Journal of Theoretical and Applied Statistics, 5</w:t>
      </w:r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>(1), 1–4.</w:t>
      </w:r>
    </w:p>
    <w:p w14:paraId="0A8AB8FD" w14:textId="77777777" w:rsidR="00687DC9" w:rsidRPr="00500913" w:rsidRDefault="00687DC9" w:rsidP="00687DC9">
      <w:pPr>
        <w:spacing w:after="0" w:line="240" w:lineRule="auto"/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</w:pPr>
      <w:proofErr w:type="spellStart"/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>Godfroid</w:t>
      </w:r>
      <w:proofErr w:type="spellEnd"/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>, A., &amp; Andringa, S. (2023). Uncovering sampling biases, advancing inclusivity, and rethinking theoretical accounts in second language acquisition: Introduction to the special issue SLA for all?</w:t>
      </w:r>
      <w:r w:rsidRPr="00500913">
        <w:rPr>
          <w:rFonts w:ascii="Roboto" w:eastAsia="Times New Roman" w:hAnsi="Roboto" w:cs="Times New Roman"/>
          <w:i/>
          <w:iCs/>
          <w:color w:val="222222"/>
          <w:kern w:val="0"/>
          <w:shd w:val="clear" w:color="auto" w:fill="FFFFFF"/>
          <w14:ligatures w14:val="none"/>
        </w:rPr>
        <w:t> Language Learning, 73</w:t>
      </w:r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>(4), 981–1002. </w:t>
      </w:r>
      <w:hyperlink r:id="rId5" w:tgtFrame="_blank" w:history="1">
        <w:r w:rsidRPr="00500913">
          <w:rPr>
            <w:rFonts w:ascii="Roboto" w:eastAsia="Times New Roman" w:hAnsi="Roboto" w:cs="Times New Roman"/>
            <w:color w:val="2773CB"/>
            <w:kern w:val="0"/>
            <w:u w:val="single"/>
            <w:shd w:val="clear" w:color="auto" w:fill="FFFFFF"/>
            <w14:ligatures w14:val="none"/>
          </w:rPr>
          <w:t>https://10.1111/lang.12620</w:t>
        </w:r>
        <w:r w:rsidRPr="00500913">
          <w:rPr>
            <w:rFonts w:ascii="Roboto" w:eastAsia="Times New Roman" w:hAnsi="Roboto" w:cs="Times New Roman"/>
            <w:color w:val="2773CB"/>
            <w:kern w:val="0"/>
            <w:u w:val="single"/>
            <w:bdr w:val="none" w:sz="0" w:space="0" w:color="auto" w:frame="1"/>
            <w:shd w:val="clear" w:color="auto" w:fill="FFFFFF"/>
            <w14:ligatures w14:val="none"/>
          </w:rPr>
          <w:t>Links to an external site.</w:t>
        </w:r>
      </w:hyperlink>
    </w:p>
    <w:p w14:paraId="06E78679" w14:textId="77777777" w:rsidR="00687DC9" w:rsidRPr="00500913" w:rsidRDefault="00687DC9" w:rsidP="00687DC9">
      <w:pPr>
        <w:spacing w:before="180" w:after="180" w:line="240" w:lineRule="auto"/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</w:pPr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>Golzar, J., Noor, S., &amp; Tajik, O. (2022). Convenience sampling.</w:t>
      </w:r>
      <w:r w:rsidRPr="00500913">
        <w:rPr>
          <w:rFonts w:ascii="Roboto" w:eastAsia="Times New Roman" w:hAnsi="Roboto" w:cs="Times New Roman"/>
          <w:i/>
          <w:iCs/>
          <w:color w:val="222222"/>
          <w:kern w:val="0"/>
          <w:shd w:val="clear" w:color="auto" w:fill="FFFFFF"/>
          <w14:ligatures w14:val="none"/>
        </w:rPr>
        <w:t> International Journal of Education &amp; Language Studies, 1</w:t>
      </w:r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>(2), 72–77.</w:t>
      </w:r>
    </w:p>
    <w:p w14:paraId="7B1E8B26" w14:textId="77777777" w:rsidR="00687DC9" w:rsidRPr="00500913" w:rsidRDefault="00687DC9" w:rsidP="00687DC9">
      <w:pPr>
        <w:spacing w:before="180" w:after="180" w:line="240" w:lineRule="auto"/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</w:pPr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>Kitsantas, A., Cleary, T. J., DiBenedetto, M. K., &amp; Hiller, S. E. (2023). </w:t>
      </w:r>
      <w:r w:rsidRPr="00500913">
        <w:rPr>
          <w:rFonts w:ascii="Roboto" w:eastAsia="Times New Roman" w:hAnsi="Roboto" w:cs="Times New Roman"/>
          <w:i/>
          <w:iCs/>
          <w:color w:val="222222"/>
          <w:kern w:val="0"/>
          <w:shd w:val="clear" w:color="auto" w:fill="FFFFFF"/>
          <w14:ligatures w14:val="none"/>
        </w:rPr>
        <w:t>Essentials of research methods for educators. </w:t>
      </w:r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>Sage Publications, Inc.</w:t>
      </w:r>
    </w:p>
    <w:p w14:paraId="5DCD1DAD" w14:textId="77777777" w:rsidR="00687DC9" w:rsidRPr="00500913" w:rsidRDefault="00687DC9" w:rsidP="00687DC9">
      <w:pPr>
        <w:spacing w:after="0" w:line="240" w:lineRule="auto"/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</w:pPr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 xml:space="preserve">Magnone, K. Q., &amp; </w:t>
      </w:r>
      <w:proofErr w:type="spellStart"/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>Yezierski</w:t>
      </w:r>
      <w:proofErr w:type="spellEnd"/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>, E. J. (2024). Beyond convenience: A case and method for purposive sampling in chemistry teacher professional development research.</w:t>
      </w:r>
      <w:r w:rsidRPr="00500913">
        <w:rPr>
          <w:rFonts w:ascii="Roboto" w:eastAsia="Times New Roman" w:hAnsi="Roboto" w:cs="Times New Roman"/>
          <w:i/>
          <w:iCs/>
          <w:color w:val="222222"/>
          <w:kern w:val="0"/>
          <w:shd w:val="clear" w:color="auto" w:fill="FFFFFF"/>
          <w14:ligatures w14:val="none"/>
        </w:rPr>
        <w:t> Journal of Chemical Education, 101</w:t>
      </w:r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>(3), 718–726. </w:t>
      </w:r>
      <w:hyperlink r:id="rId6" w:tgtFrame="_blank" w:history="1">
        <w:r w:rsidRPr="00500913">
          <w:rPr>
            <w:rFonts w:ascii="Roboto" w:eastAsia="Times New Roman" w:hAnsi="Roboto" w:cs="Times New Roman"/>
            <w:color w:val="2773CB"/>
            <w:kern w:val="0"/>
            <w:u w:val="single"/>
            <w:shd w:val="clear" w:color="auto" w:fill="FFFFFF"/>
            <w14:ligatures w14:val="none"/>
          </w:rPr>
          <w:t>https://10.1021/acs.jchemed.3c00217</w:t>
        </w:r>
        <w:r w:rsidRPr="00500913">
          <w:rPr>
            <w:rFonts w:ascii="Roboto" w:eastAsia="Times New Roman" w:hAnsi="Roboto" w:cs="Times New Roman"/>
            <w:color w:val="2773CB"/>
            <w:kern w:val="0"/>
            <w:u w:val="single"/>
            <w:bdr w:val="none" w:sz="0" w:space="0" w:color="auto" w:frame="1"/>
            <w:shd w:val="clear" w:color="auto" w:fill="FFFFFF"/>
            <w14:ligatures w14:val="none"/>
          </w:rPr>
          <w:t>Links to an external site.</w:t>
        </w:r>
      </w:hyperlink>
    </w:p>
    <w:p w14:paraId="20F84CD7" w14:textId="77777777" w:rsidR="00687DC9" w:rsidRPr="00500913" w:rsidRDefault="00687DC9" w:rsidP="00687DC9">
      <w:pPr>
        <w:spacing w:before="180" w:after="180" w:line="240" w:lineRule="auto"/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</w:pPr>
      <w:r w:rsidRPr="00500913">
        <w:rPr>
          <w:rFonts w:ascii="Roboto" w:eastAsia="Times New Roman" w:hAnsi="Roboto" w:cs="Times New Roman"/>
          <w:i/>
          <w:iCs/>
          <w:color w:val="222222"/>
          <w:kern w:val="0"/>
          <w:shd w:val="clear" w:color="auto" w:fill="FFFFFF"/>
          <w14:ligatures w14:val="none"/>
        </w:rPr>
        <w:t>New International Bible</w:t>
      </w:r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>. (1769/2017). Zondervan. </w:t>
      </w:r>
    </w:p>
    <w:p w14:paraId="70A8A985" w14:textId="77777777" w:rsidR="00687DC9" w:rsidRPr="00500913" w:rsidRDefault="00687DC9" w:rsidP="00687DC9">
      <w:pPr>
        <w:spacing w:before="180" w:after="180" w:line="240" w:lineRule="auto"/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</w:pPr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>Olsen, R. B., &amp; Vasquez-Rossi, M. L. (2023). Using auxiliary data to guide the recruitment of sites for randomized controlled trials.</w:t>
      </w:r>
      <w:r w:rsidRPr="00500913">
        <w:rPr>
          <w:rFonts w:ascii="Roboto" w:eastAsia="Times New Roman" w:hAnsi="Roboto" w:cs="Times New Roman"/>
          <w:i/>
          <w:iCs/>
          <w:color w:val="222222"/>
          <w:kern w:val="0"/>
          <w:shd w:val="clear" w:color="auto" w:fill="FFFFFF"/>
          <w14:ligatures w14:val="none"/>
        </w:rPr>
        <w:t> </w:t>
      </w:r>
      <w:proofErr w:type="spellStart"/>
      <w:r w:rsidRPr="00500913">
        <w:rPr>
          <w:rFonts w:ascii="Roboto" w:eastAsia="Times New Roman" w:hAnsi="Roboto" w:cs="Times New Roman"/>
          <w:i/>
          <w:iCs/>
          <w:color w:val="222222"/>
          <w:kern w:val="0"/>
          <w:shd w:val="clear" w:color="auto" w:fill="FFFFFF"/>
          <w14:ligatures w14:val="none"/>
        </w:rPr>
        <w:t>arXiv</w:t>
      </w:r>
      <w:proofErr w:type="spellEnd"/>
      <w:r w:rsidRPr="00500913">
        <w:rPr>
          <w:rFonts w:ascii="Roboto" w:eastAsia="Times New Roman" w:hAnsi="Roboto" w:cs="Times New Roman"/>
          <w:i/>
          <w:iCs/>
          <w:color w:val="222222"/>
          <w:kern w:val="0"/>
          <w:shd w:val="clear" w:color="auto" w:fill="FFFFFF"/>
          <w14:ligatures w14:val="none"/>
        </w:rPr>
        <w:t xml:space="preserve"> Preprint arXiv:2304.12237.</w:t>
      </w:r>
    </w:p>
    <w:p w14:paraId="117C5638" w14:textId="77777777" w:rsidR="00687DC9" w:rsidRPr="00500913" w:rsidRDefault="00687DC9" w:rsidP="00687DC9">
      <w:pPr>
        <w:spacing w:before="180" w:after="180" w:line="240" w:lineRule="auto"/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</w:pPr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>Stratton, S. J. (2021). Population research: Convenience sampling strategies.</w:t>
      </w:r>
      <w:r w:rsidRPr="00500913">
        <w:rPr>
          <w:rFonts w:ascii="Roboto" w:eastAsia="Times New Roman" w:hAnsi="Roboto" w:cs="Times New Roman"/>
          <w:i/>
          <w:iCs/>
          <w:color w:val="222222"/>
          <w:kern w:val="0"/>
          <w:shd w:val="clear" w:color="auto" w:fill="FFFFFF"/>
          <w14:ligatures w14:val="none"/>
        </w:rPr>
        <w:t> Prehospital and Disaster Medicine, 36</w:t>
      </w:r>
      <w:r w:rsidRPr="00500913">
        <w:rPr>
          <w:rFonts w:ascii="Roboto" w:eastAsia="Times New Roman" w:hAnsi="Roboto" w:cs="Times New Roman"/>
          <w:color w:val="222222"/>
          <w:kern w:val="0"/>
          <w:shd w:val="clear" w:color="auto" w:fill="FFFFFF"/>
          <w14:ligatures w14:val="none"/>
        </w:rPr>
        <w:t>(4), 373–374.</w:t>
      </w:r>
    </w:p>
    <w:p w14:paraId="5B906C9D" w14:textId="77777777" w:rsidR="00687DC9" w:rsidRDefault="00687DC9"/>
    <w:sectPr w:rsidR="00687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C9"/>
    <w:rsid w:val="005B2A55"/>
    <w:rsid w:val="0068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2B649"/>
  <w15:chartTrackingRefBased/>
  <w15:docId w15:val="{4B241F7E-CE11-48B0-AA60-C16680F28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DC9"/>
  </w:style>
  <w:style w:type="paragraph" w:styleId="Heading1">
    <w:name w:val="heading 1"/>
    <w:basedOn w:val="Normal"/>
    <w:next w:val="Normal"/>
    <w:link w:val="Heading1Char"/>
    <w:uiPriority w:val="9"/>
    <w:qFormat/>
    <w:rsid w:val="00687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D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D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D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10.0.3.253/acs.jchemed.3c00217" TargetMode="External"/><Relationship Id="rId5" Type="http://schemas.openxmlformats.org/officeDocument/2006/relationships/hyperlink" Target="https://10.0.4.87/lang.12620" TargetMode="External"/><Relationship Id="rId4" Type="http://schemas.openxmlformats.org/officeDocument/2006/relationships/hyperlink" Target="https://doi.org/10.1017/S02671905200000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Hernandez</dc:creator>
  <cp:keywords/>
  <dc:description/>
  <cp:lastModifiedBy>Stephanie Hernandez</cp:lastModifiedBy>
  <cp:revision>1</cp:revision>
  <dcterms:created xsi:type="dcterms:W3CDTF">2025-07-07T17:10:00Z</dcterms:created>
  <dcterms:modified xsi:type="dcterms:W3CDTF">2025-07-07T17:10:00Z</dcterms:modified>
</cp:coreProperties>
</file>