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</w:pPr>
      <w:r>
        <w:rPr>
          <w:rFonts w:ascii="Arial" w:cs="Arial" w:eastAsia="Arial" w:hAnsi="Arial"/>
          <w:b/>
          <w:bCs/>
          <w:color w:val="1B3A6B"/>
          <w:sz w:val="60"/>
          <w:szCs w:val="60"/>
        </w:rPr>
        <w:t xml:space="preserve">EUROTRIPS</w:t>
      </w:r>
    </w:p>
    <w:p>
      <w:pPr>
        <w:spacing w:after="60" w:before="0"/>
      </w:pPr>
      <w:r>
        <w:rPr>
          <w:rFonts w:ascii="Arial" w:cs="Arial" w:eastAsia="Arial" w:hAnsi="Arial"/>
          <w:color w:val="5A6A7A"/>
          <w:sz w:val="36"/>
          <w:szCs w:val="36"/>
        </w:rPr>
        <w:t xml:space="preserve">Аналітичний звіт по турах 2026</w:t>
      </w:r>
    </w:p>
    <w:p>
      <w:pPr>
        <w:pBdr>
          <w:bottom w:val="single" w:color="F9C01D" w:sz="8" w:space="1"/>
        </w:pBdr>
        <w:spacing w:after="40" w:before="0"/>
      </w:pPr>
      <w:r>
        <w:rPr>
          <w:rFonts w:ascii="Arial" w:cs="Arial" w:eastAsia="Arial" w:hAnsi="Arial"/>
          <w:i/>
          <w:iCs/>
          <w:color w:val="5A6A7A"/>
          <w:sz w:val="18"/>
          <w:szCs w:val="18"/>
        </w:rPr>
        <w:t xml:space="preserve">Дата: Червень 2026  |  Джерела: ET_Tour_Calendar, AGcomission, Hotel_Database  |  Статус: FINAL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📊 Ролі-споживачі звіту: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Керівник — стратегічні рішення, оцінка маржинальності напрямків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Frontend-розробник — специфікація KPI для Dashboard.tsx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Менеджер з продажу — аналіз завантаженості, цінових сегментів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Операційний менеджер — сезонність, готовність до виїзду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1"/>
        <w:pBdr>
          <w:bottom w:val="single" w:color="2D70B9" w:sz="6" w:space="1"/>
        </w:pBdr>
        <w:spacing w:after="180" w:before="3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РОЗДІЛ 1: Ключові показники (2026)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Аналіз проведено на основі реальних даних: 495 турів календаря 2026, 406 записів агентських комісій, 563 готелі в базі.</w:t>
      </w:r>
    </w:p>
    <w:p>
      <w:pPr>
        <w:spacing w:before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000"/>
        <w:gridCol w:w="1600"/>
      </w:tblGrid>
      <w:tr>
        <w:trPr>
          <w:tblHeader/>
        </w:trPr>
        <w:tc>
          <w:tcPr>
            <w:tcW w:type="dxa" w:w="2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3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Значення (реальні дані)</w:t>
            </w:r>
          </w:p>
        </w:tc>
        <w:tc>
          <w:tcPr>
            <w:tcW w:type="dxa" w:w="2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Контекст</w:t>
            </w:r>
          </w:p>
        </w:tc>
        <w:tc>
          <w:tcPr>
            <w:tcW w:type="dxa" w:w="16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Оцінка</w:t>
            </w:r>
          </w:p>
        </w:tc>
      </w:tr>
      <w:tr>
        <w:tc>
          <w:tcPr>
            <w:tcW w:type="dxa" w:w="2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Всього турів 2026</w:t>
            </w:r>
          </w:p>
        </w:tc>
        <w:tc>
          <w:tcPr>
            <w:tcW w:type="dxa" w:w="3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495 турів (249 активних, 60 завершено, 10 чернеток)</w:t>
            </w:r>
          </w:p>
        </w:tc>
        <w:tc>
          <w:tcPr>
            <w:tcW w:type="dxa" w:w="2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40 унікальних продуктів</w:t>
            </w:r>
          </w:p>
        </w:tc>
        <w:tc>
          <w:tcPr>
            <w:tcW w:type="dxa" w:w="16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✅ Масштаб</w:t>
            </w:r>
          </w:p>
        </w:tc>
      </w:tr>
      <w:tr>
        <w:tc>
          <w:tcPr>
            <w:tcW w:type="dxa" w:w="2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Топ-1 напрямок</w:t>
            </w:r>
          </w:p>
        </w:tc>
        <w:tc>
          <w:tcPr>
            <w:tcW w:type="dxa" w:w="3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Італія — 111 виїздів (22.4% від усіх)</w:t>
            </w:r>
          </w:p>
        </w:tc>
        <w:tc>
          <w:tcPr>
            <w:tcW w:type="dxa" w:w="2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Угорщина 64, Франція 61</w:t>
            </w:r>
          </w:p>
        </w:tc>
        <w:tc>
          <w:tcPr>
            <w:tcW w:type="dxa" w:w="16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0B9"/>
                <w:sz w:val="17"/>
                <w:szCs w:val="17"/>
              </w:rPr>
              <w:t xml:space="preserve">Домінує</w:t>
            </w:r>
          </w:p>
        </w:tc>
      </w:tr>
      <w:tr>
        <w:tc>
          <w:tcPr>
            <w:tcW w:type="dxa" w:w="2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Середня ціна туру</w:t>
            </w:r>
          </w:p>
        </w:tc>
        <w:tc>
          <w:tcPr>
            <w:tcW w:type="dxa" w:w="3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268 EUR/особу (діапазон: 20 — 999 EUR)</w:t>
            </w:r>
          </w:p>
        </w:tc>
        <w:tc>
          <w:tcPr>
            <w:tcW w:type="dxa" w:w="2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Медіана: 200–400€ сегмент (181 тур)</w:t>
            </w:r>
          </w:p>
        </w:tc>
        <w:tc>
          <w:tcPr>
            <w:tcW w:type="dxa" w:w="16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⚠️ Широкий розкид</w:t>
            </w:r>
          </w:p>
        </w:tc>
      </w:tr>
      <w:tr>
        <w:tc>
          <w:tcPr>
            <w:tcW w:type="dxa" w:w="2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Середня маржа</w:t>
            </w:r>
          </w:p>
        </w:tc>
        <w:tc>
          <w:tcPr>
            <w:tcW w:type="dxa" w:w="3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7.9% по всіх напрямках (суттєво варіює)</w:t>
            </w:r>
          </w:p>
        </w:tc>
        <w:tc>
          <w:tcPr>
            <w:tcW w:type="dxa" w:w="2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Польща 36.8%, Іспанія 36.6%, Греція 7.0%</w:t>
            </w:r>
          </w:p>
        </w:tc>
        <w:tc>
          <w:tcPr>
            <w:tcW w:type="dxa" w:w="16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⚠️ Потребує уваги</w:t>
            </w:r>
          </w:p>
        </w:tc>
      </w:tr>
      <w:tr>
        <w:tc>
          <w:tcPr>
            <w:tcW w:type="dxa" w:w="2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Заповненість (план/факт)</w:t>
            </w:r>
          </w:p>
        </w:tc>
        <w:tc>
          <w:tcPr>
            <w:tcW w:type="dxa" w:w="3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98.8% середня (249 турів ≥95% capacity)</w:t>
            </w:r>
          </w:p>
        </w:tc>
        <w:tc>
          <w:tcPr>
            <w:tcW w:type="dxa" w:w="2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Завершені тури: 96.4%, активні: 99.3%</w:t>
            </w:r>
          </w:p>
        </w:tc>
        <w:tc>
          <w:tcPr>
            <w:tcW w:type="dxa" w:w="16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✅ Відмінно</w:t>
            </w:r>
          </w:p>
        </w:tc>
      </w:tr>
      <w:tr>
        <w:tc>
          <w:tcPr>
            <w:tcW w:type="dxa" w:w="2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Середня комісія агентам</w:t>
            </w:r>
          </w:p>
        </w:tc>
        <w:tc>
          <w:tcPr>
            <w:tcW w:type="dxa" w:w="3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16.4% (діапазон: 10% — 30%)</w:t>
            </w:r>
          </w:p>
        </w:tc>
        <w:tc>
          <w:tcPr>
            <w:tcW w:type="dxa" w:w="2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406 записів, 8 різних рівнів комісій</w:t>
            </w:r>
          </w:p>
        </w:tc>
        <w:tc>
          <w:tcPr>
            <w:tcW w:type="dxa" w:w="16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0B9"/>
                <w:sz w:val="17"/>
                <w:szCs w:val="17"/>
              </w:rPr>
              <w:t xml:space="preserve">ℹ️ Диференційована</w:t>
            </w:r>
          </w:p>
        </w:tc>
      </w:tr>
      <w:tr>
        <w:tc>
          <w:tcPr>
            <w:tcW w:type="dxa" w:w="2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Середній розмір групи</w:t>
            </w:r>
          </w:p>
        </w:tc>
        <w:tc>
          <w:tcPr>
            <w:tcW w:type="dxa" w:w="3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~50 осіб планових, ~27 фактично по готелям</w:t>
            </w:r>
          </w:p>
        </w:tc>
        <w:tc>
          <w:tcPr>
            <w:tcW w:type="dxa" w:w="2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98.6% — автобусний формат</w:t>
            </w:r>
          </w:p>
        </w:tc>
        <w:tc>
          <w:tcPr>
            <w:tcW w:type="dxa" w:w="16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✅ Стабільно</w:t>
            </w:r>
          </w:p>
        </w:tc>
      </w:tr>
      <w:tr>
        <w:tc>
          <w:tcPr>
            <w:tcW w:type="dxa" w:w="2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Готельна база</w:t>
            </w:r>
          </w:p>
        </w:tc>
        <w:tc>
          <w:tcPr>
            <w:tcW w:type="dxa" w:w="3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563 готелі, avg рейтинг 8.98/10, 443 — Італія</w:t>
            </w:r>
          </w:p>
        </w:tc>
        <w:tc>
          <w:tcPr>
            <w:tcW w:type="dxa" w:w="2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46.7% верифіковані, avg ціна 141–158€/ніч</w:t>
            </w:r>
          </w:p>
        </w:tc>
        <w:tc>
          <w:tcPr>
            <w:tcW w:type="dxa" w:w="16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📌 Концентрація IT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1"/>
        <w:pBdr>
          <w:bottom w:val="single" w:color="2D70B9" w:sz="6" w:space="1"/>
        </w:pBdr>
        <w:spacing w:after="180" w:before="3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РОЗДІЛ 2: Топ-5 напрямків по кількості виїздів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Аналіз по 495 турах 2026 календаря. Ранжування за кількістю виїздів — основний показник операційного навантаження.</w:t>
      </w:r>
    </w:p>
    <w:p>
      <w:pPr>
        <w:spacing w:before="160"/>
      </w:pP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900"/>
        <w:gridCol w:w="1000"/>
        <w:gridCol w:w="1000"/>
        <w:gridCol w:w="1000"/>
        <w:gridCol w:w="1000"/>
        <w:gridCol w:w="1000"/>
        <w:gridCol w:w="1200"/>
      </w:tblGrid>
      <w:tr>
        <w:trPr>
          <w:tblHeader/>
        </w:trPr>
        <w:tc>
          <w:tcPr>
            <w:tcW w:type="dxa" w:w="4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Напрямок</w:t>
            </w:r>
          </w:p>
        </w:tc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Виїздів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Собів.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Ціна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Маржа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Комісія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Тривал.</w:t>
            </w:r>
          </w:p>
        </w:tc>
        <w:tc>
          <w:tcPr>
            <w:tcW w:type="dxa" w:w="1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Транспорт</w:t>
            </w:r>
          </w:p>
        </w:tc>
      </w:tr>
      <w:tr>
        <w:tc>
          <w:tcPr>
            <w:tcW w:type="dxa" w:w="4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#1</w:t>
            </w:r>
          </w:p>
        </w:tc>
        <w:tc>
          <w:tcPr>
            <w:tcW w:type="dxa" w:w="16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Італія (Italy)</w:t>
            </w:r>
          </w:p>
        </w:tc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111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231€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261€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11.2%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13.8%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6 днів</w:t>
            </w:r>
          </w:p>
        </w:tc>
        <w:tc>
          <w:tcPr>
            <w:tcW w:type="dxa" w:w="1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4 465€</w:t>
            </w:r>
          </w:p>
        </w:tc>
      </w:tr>
      <w:tr>
        <w:tc>
          <w:tcPr>
            <w:tcW w:type="dxa" w:w="4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#2</w:t>
            </w:r>
          </w:p>
        </w:tc>
        <w:tc>
          <w:tcPr>
            <w:tcW w:type="dxa" w:w="16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Угорщина (Hungary)</w:t>
            </w:r>
          </w:p>
        </w:tc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64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86€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100€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14.5%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29.6%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4 дні</w:t>
            </w:r>
          </w:p>
        </w:tc>
        <w:tc>
          <w:tcPr>
            <w:tcW w:type="dxa" w:w="1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1 804€</w:t>
            </w:r>
          </w:p>
        </w:tc>
      </w:tr>
      <w:tr>
        <w:tc>
          <w:tcPr>
            <w:tcW w:type="dxa" w:w="4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#3</w:t>
            </w:r>
          </w:p>
        </w:tc>
        <w:tc>
          <w:tcPr>
            <w:tcW w:type="dxa" w:w="16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Франція (France)</w:t>
            </w:r>
          </w:p>
        </w:tc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61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324€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351€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7"/>
                <w:szCs w:val="17"/>
              </w:rPr>
              <w:t xml:space="preserve">7.6%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12.6%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7 днів</w:t>
            </w:r>
          </w:p>
        </w:tc>
        <w:tc>
          <w:tcPr>
            <w:tcW w:type="dxa" w:w="1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5 777€</w:t>
            </w:r>
          </w:p>
        </w:tc>
      </w:tr>
      <w:tr>
        <w:tc>
          <w:tcPr>
            <w:tcW w:type="dxa" w:w="4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#4</w:t>
            </w:r>
          </w:p>
        </w:tc>
        <w:tc>
          <w:tcPr>
            <w:tcW w:type="dxa" w:w="16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Греція (Greece)</w:t>
            </w:r>
          </w:p>
        </w:tc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36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426€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458€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7"/>
                <w:szCs w:val="17"/>
              </w:rPr>
              <w:t xml:space="preserve">7.0%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10.0%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10 днів</w:t>
            </w:r>
          </w:p>
        </w:tc>
        <w:tc>
          <w:tcPr>
            <w:tcW w:type="dxa" w:w="1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5 281€</w:t>
            </w:r>
          </w:p>
        </w:tc>
      </w:tr>
      <w:tr>
        <w:tc>
          <w:tcPr>
            <w:tcW w:type="dxa" w:w="4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#5</w:t>
            </w:r>
          </w:p>
        </w:tc>
        <w:tc>
          <w:tcPr>
            <w:tcW w:type="dxa" w:w="16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Чехія (Czech Rep.)</w:t>
            </w:r>
          </w:p>
        </w:tc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34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160€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178€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10.0%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19.1%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4 дні</w:t>
            </w:r>
          </w:p>
        </w:tc>
        <w:tc>
          <w:tcPr>
            <w:tcW w:type="dxa" w:w="1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2 712€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D70B9"/>
          <w:sz w:val="26"/>
          <w:szCs w:val="26"/>
        </w:rPr>
        <w:t xml:space="preserve">Ключові інсайти по топ-5 напрямках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🥇 Італія — абсолютний лідер: 22.4% всіх виїздів, маржа 11.2%, помірна комісія агентам 13.8%. Найбільший транспортний тягар (4 465€/тур).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🥈 Угорщина (Будапешт+Відень) — найвища комісія агентам 29.6%! Але найнижча ціна (100€), мала маржа. Ризик — агентський канал перекриває пряму маржу.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🥉 Франція — дорогий продукт (351€), але маржа лише 7.6%. Найвищий транспортний тягар після Іспанії.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⚡ Польща (#6) — зірковий напрямок по маржі: 36.8% при ціні 137€. Потенціал для масштабування.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⚡ Іспанія (#10) — 36.6% маржи при ціні 577€, але лише 19 виїздів. Преміальний, але малий за обсягом.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📊 Греція і Франція — найдовші тури (10 і 7 днів) з низькою маржею: підвищити ціну або знизити собівартість.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1"/>
        <w:pBdr>
          <w:bottom w:val="single" w:color="2D70B9" w:sz="6" w:space="1"/>
        </w:pBdr>
        <w:spacing w:after="180" w:before="3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РОЗДІЛ 3: Рентабельність турів по напрямках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Середня маржа розрахована як: (Ціна на сайті − Собівартість) / Ціна × 100%. Дані з ET_Tour_Calendar 2026.</w:t>
      </w:r>
    </w:p>
    <w:p>
      <w:pPr>
        <w:spacing w:before="160"/>
      </w:pP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1000"/>
        <w:gridCol w:w="1000"/>
        <w:gridCol w:w="1000"/>
        <w:gridCol w:w="1200"/>
      </w:tblGrid>
      <w:tr>
        <w:trPr>
          <w:tblHeader/>
        </w:trPr>
        <w:tc>
          <w:tcPr>
            <w:tcW w:type="dxa" w:w="18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Напрямок</w:t>
            </w:r>
          </w:p>
        </w:tc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Маржа %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Собівартість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Ціна сайту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Прибуток/ос.</w:t>
            </w:r>
          </w:p>
        </w:tc>
        <w:tc>
          <w:tcPr>
            <w:tcW w:type="dxa" w:w="1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Рейтинг</w:t>
            </w:r>
          </w:p>
        </w:tc>
      </w:tr>
      <w:tr>
        <w:tc>
          <w:tcPr>
            <w:tcW w:type="dxa" w:w="18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Польща</w:t>
            </w:r>
          </w:p>
        </w:tc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36.8%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A7A"/>
                <w:sz w:val="17"/>
                <w:szCs w:val="17"/>
              </w:rPr>
              <w:t xml:space="preserve">86€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137€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803D"/>
                <w:sz w:val="17"/>
                <w:szCs w:val="17"/>
              </w:rPr>
              <w:t xml:space="preserve">51€</w:t>
            </w:r>
          </w:p>
        </w:tc>
        <w:tc>
          <w:tcPr>
            <w:tcW w:type="dxa" w:w="1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🏆 Висока</w:t>
            </w:r>
          </w:p>
        </w:tc>
      </w:tr>
      <w:tr>
        <w:tc>
          <w:tcPr>
            <w:tcW w:type="dxa" w:w="18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Іспанія</w:t>
            </w:r>
          </w:p>
        </w:tc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36.6%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A7A"/>
                <w:sz w:val="17"/>
                <w:szCs w:val="17"/>
              </w:rPr>
              <w:t xml:space="preserve">366€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577€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803D"/>
                <w:sz w:val="17"/>
                <w:szCs w:val="17"/>
              </w:rPr>
              <w:t xml:space="preserve">211€</w:t>
            </w:r>
          </w:p>
        </w:tc>
        <w:tc>
          <w:tcPr>
            <w:tcW w:type="dxa" w:w="1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🏆 Висока</w:t>
            </w:r>
          </w:p>
        </w:tc>
      </w:tr>
      <w:tr>
        <w:tc>
          <w:tcPr>
            <w:tcW w:type="dxa" w:w="18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Румунія</w:t>
            </w:r>
          </w:p>
        </w:tc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33.9%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A7A"/>
                <w:sz w:val="17"/>
                <w:szCs w:val="17"/>
              </w:rPr>
              <w:t xml:space="preserve">88€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132€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803D"/>
                <w:sz w:val="17"/>
                <w:szCs w:val="17"/>
              </w:rPr>
              <w:t xml:space="preserve">44€</w:t>
            </w:r>
          </w:p>
        </w:tc>
        <w:tc>
          <w:tcPr>
            <w:tcW w:type="dxa" w:w="1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🏆 Висока</w:t>
            </w:r>
          </w:p>
        </w:tc>
      </w:tr>
      <w:tr>
        <w:tc>
          <w:tcPr>
            <w:tcW w:type="dxa" w:w="18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Угорщина</w:t>
            </w:r>
          </w:p>
        </w:tc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0B9"/>
                <w:sz w:val="17"/>
                <w:szCs w:val="17"/>
              </w:rPr>
              <w:t xml:space="preserve">14.5%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A7A"/>
                <w:sz w:val="17"/>
                <w:szCs w:val="17"/>
              </w:rPr>
              <w:t xml:space="preserve">86€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100€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803D"/>
                <w:sz w:val="17"/>
                <w:szCs w:val="17"/>
              </w:rPr>
              <w:t xml:space="preserve">14€</w:t>
            </w:r>
          </w:p>
        </w:tc>
        <w:tc>
          <w:tcPr>
            <w:tcW w:type="dxa" w:w="1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0B9"/>
                <w:sz w:val="17"/>
                <w:szCs w:val="17"/>
              </w:rPr>
              <w:t xml:space="preserve">📊 Середня</w:t>
            </w:r>
          </w:p>
        </w:tc>
      </w:tr>
      <w:tr>
        <w:tc>
          <w:tcPr>
            <w:tcW w:type="dxa" w:w="18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Чехія</w:t>
            </w:r>
          </w:p>
        </w:tc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0B9"/>
                <w:sz w:val="17"/>
                <w:szCs w:val="17"/>
              </w:rPr>
              <w:t xml:space="preserve">10.0%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A7A"/>
                <w:sz w:val="17"/>
                <w:szCs w:val="17"/>
              </w:rPr>
              <w:t xml:space="preserve">160€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178€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803D"/>
                <w:sz w:val="17"/>
                <w:szCs w:val="17"/>
              </w:rPr>
              <w:t xml:space="preserve">18€</w:t>
            </w:r>
          </w:p>
        </w:tc>
        <w:tc>
          <w:tcPr>
            <w:tcW w:type="dxa" w:w="1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0B9"/>
                <w:sz w:val="17"/>
                <w:szCs w:val="17"/>
              </w:rPr>
              <w:t xml:space="preserve">📊 Середня</w:t>
            </w:r>
          </w:p>
        </w:tc>
      </w:tr>
      <w:tr>
        <w:tc>
          <w:tcPr>
            <w:tcW w:type="dxa" w:w="18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Італія</w:t>
            </w:r>
          </w:p>
        </w:tc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0B9"/>
                <w:sz w:val="17"/>
                <w:szCs w:val="17"/>
              </w:rPr>
              <w:t xml:space="preserve">11.2%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A7A"/>
                <w:sz w:val="17"/>
                <w:szCs w:val="17"/>
              </w:rPr>
              <w:t xml:space="preserve">231€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261€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803D"/>
                <w:sz w:val="17"/>
                <w:szCs w:val="17"/>
              </w:rPr>
              <w:t xml:space="preserve">30€</w:t>
            </w:r>
          </w:p>
        </w:tc>
        <w:tc>
          <w:tcPr>
            <w:tcW w:type="dxa" w:w="1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0B9"/>
                <w:sz w:val="17"/>
                <w:szCs w:val="17"/>
              </w:rPr>
              <w:t xml:space="preserve">📊 Середня</w:t>
            </w:r>
          </w:p>
        </w:tc>
      </w:tr>
      <w:tr>
        <w:tc>
          <w:tcPr>
            <w:tcW w:type="dxa" w:w="18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Туреччина</w:t>
            </w:r>
          </w:p>
        </w:tc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8.4%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A7A"/>
                <w:sz w:val="17"/>
                <w:szCs w:val="17"/>
              </w:rPr>
              <w:t xml:space="preserve">164€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179€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803D"/>
                <w:sz w:val="17"/>
                <w:szCs w:val="17"/>
              </w:rPr>
              <w:t xml:space="preserve">15€</w:t>
            </w:r>
          </w:p>
        </w:tc>
        <w:tc>
          <w:tcPr>
            <w:tcW w:type="dxa" w:w="1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⚠️ Низька</w:t>
            </w:r>
          </w:p>
        </w:tc>
      </w:tr>
      <w:tr>
        <w:tc>
          <w:tcPr>
            <w:tcW w:type="dxa" w:w="18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Франція</w:t>
            </w:r>
          </w:p>
        </w:tc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7.6%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A7A"/>
                <w:sz w:val="17"/>
                <w:szCs w:val="17"/>
              </w:rPr>
              <w:t xml:space="preserve">324€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351€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803D"/>
                <w:sz w:val="17"/>
                <w:szCs w:val="17"/>
              </w:rPr>
              <w:t xml:space="preserve">27€</w:t>
            </w:r>
          </w:p>
        </w:tc>
        <w:tc>
          <w:tcPr>
            <w:tcW w:type="dxa" w:w="1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⚠️ Низька</w:t>
            </w:r>
          </w:p>
        </w:tc>
      </w:tr>
      <w:tr>
        <w:tc>
          <w:tcPr>
            <w:tcW w:type="dxa" w:w="18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Австрія</w:t>
            </w:r>
          </w:p>
        </w:tc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7.5%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A7A"/>
                <w:sz w:val="17"/>
                <w:szCs w:val="17"/>
              </w:rPr>
              <w:t xml:space="preserve">194€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209€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803D"/>
                <w:sz w:val="17"/>
                <w:szCs w:val="17"/>
              </w:rPr>
              <w:t xml:space="preserve">15€</w:t>
            </w:r>
          </w:p>
        </w:tc>
        <w:tc>
          <w:tcPr>
            <w:tcW w:type="dxa" w:w="1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⚠️ Низька</w:t>
            </w:r>
          </w:p>
        </w:tc>
      </w:tr>
      <w:tr>
        <w:tc>
          <w:tcPr>
            <w:tcW w:type="dxa" w:w="18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Греція</w:t>
            </w:r>
          </w:p>
        </w:tc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7.0%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A7A"/>
                <w:sz w:val="17"/>
                <w:szCs w:val="17"/>
              </w:rPr>
              <w:t xml:space="preserve">426€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458€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803D"/>
                <w:sz w:val="17"/>
                <w:szCs w:val="17"/>
              </w:rPr>
              <w:t xml:space="preserve">32€</w:t>
            </w:r>
          </w:p>
        </w:tc>
        <w:tc>
          <w:tcPr>
            <w:tcW w:type="dxa" w:w="1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⚠️ Низька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B91C1C"/>
          <w:sz w:val="20"/>
          <w:szCs w:val="20"/>
        </w:rPr>
        <w:t xml:space="preserve">⚠️ КРИТИЧНИЙ ІНСАЙТ: 7 з 10 топ-напрямків мають маржу нижче 15%. При агентських комісіях 10–30% реальна операційна маржа по частині турів може бути від'ємною. Необхідний детальний аналіз P&amp;L по кожному туру після підключення модуля Фінанси.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1"/>
        <w:pBdr>
          <w:bottom w:val="single" w:color="2D70B9" w:sz="6" w:space="1"/>
        </w:pBdr>
        <w:spacing w:after="180" w:before="3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РОЗДІЛ 4: Агентські комісії (406 записів)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Аналіз AGcomission.csv — 406 унікальних турів з призначеними ставками агентської комісії.</w:t>
      </w:r>
    </w:p>
    <w:p>
      <w:pPr>
        <w:spacing w:before="160"/>
      </w:pP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1000"/>
        <w:gridCol w:w="3000"/>
        <w:gridCol w:w="1000"/>
      </w:tblGrid>
      <w:tr>
        <w:trPr>
          <w:tblHeader/>
        </w:trPr>
        <w:tc>
          <w:tcPr>
            <w:tcW w:type="dxa" w:w="8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Ставка</w:t>
            </w:r>
          </w:p>
        </w:tc>
        <w:tc>
          <w:tcPr>
            <w:tcW w:type="dxa" w:w="26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Продукт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Об'єм</w:t>
            </w:r>
          </w:p>
        </w:tc>
        <w:tc>
          <w:tcPr>
            <w:tcW w:type="dxa" w:w="3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Коментар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Ризик</w:t>
            </w:r>
          </w:p>
        </w:tc>
      </w:tr>
      <w:tr>
        <w:tc>
          <w:tcPr>
            <w:tcW w:type="dxa" w:w="8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7"/>
                <w:szCs w:val="17"/>
              </w:rPr>
              <w:t xml:space="preserve">30%</w:t>
            </w:r>
          </w:p>
        </w:tc>
        <w:tc>
          <w:tcPr>
            <w:tcW w:type="dxa" w:w="26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Будапешт + Відень (Уікенд)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A7A"/>
                <w:sz w:val="17"/>
                <w:szCs w:val="17"/>
              </w:rPr>
              <w:t xml:space="preserve">~49 турів</w:t>
            </w:r>
          </w:p>
        </w:tc>
        <w:tc>
          <w:tcPr>
            <w:tcW w:type="dxa" w:w="3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Найвища комісія в портфелі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7"/>
                <w:szCs w:val="17"/>
              </w:rPr>
              <w:t xml:space="preserve">🔴 Висок.</w:t>
            </w:r>
          </w:p>
        </w:tc>
      </w:tr>
      <w:tr>
        <w:tc>
          <w:tcPr>
            <w:tcW w:type="dxa" w:w="8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25%</w:t>
            </w:r>
          </w:p>
        </w:tc>
        <w:tc>
          <w:tcPr>
            <w:tcW w:type="dxa" w:w="26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Будапешт + Відень (Holiday)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A7A"/>
                <w:sz w:val="17"/>
                <w:szCs w:val="17"/>
              </w:rPr>
              <w:t xml:space="preserve">~10 турів</w:t>
            </w:r>
          </w:p>
        </w:tc>
        <w:tc>
          <w:tcPr>
            <w:tcW w:type="dxa" w:w="3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Преміум сегмент Угорщини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🟡 Середн.</w:t>
            </w:r>
          </w:p>
        </w:tc>
      </w:tr>
      <w:tr>
        <w:tc>
          <w:tcPr>
            <w:tcW w:type="dxa" w:w="8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20%</w:t>
            </w:r>
          </w:p>
        </w:tc>
        <w:tc>
          <w:tcPr>
            <w:tcW w:type="dxa" w:w="26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Прага + Дрезден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A7A"/>
                <w:sz w:val="17"/>
                <w:szCs w:val="17"/>
              </w:rPr>
              <w:t xml:space="preserve">~18 турів</w:t>
            </w:r>
          </w:p>
        </w:tc>
        <w:tc>
          <w:tcPr>
            <w:tcW w:type="dxa" w:w="3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Вікенди Чехія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🟡 Середн.</w:t>
            </w:r>
          </w:p>
        </w:tc>
      </w:tr>
      <w:tr>
        <w:tc>
          <w:tcPr>
            <w:tcW w:type="dxa" w:w="8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20%</w:t>
            </w:r>
          </w:p>
        </w:tc>
        <w:tc>
          <w:tcPr>
            <w:tcW w:type="dxa" w:w="26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Польща (різні)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A7A"/>
                <w:sz w:val="17"/>
                <w:szCs w:val="17"/>
              </w:rPr>
              <w:t xml:space="preserve">~32 тури</w:t>
            </w:r>
          </w:p>
        </w:tc>
        <w:tc>
          <w:tcPr>
            <w:tcW w:type="dxa" w:w="3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Короткі вікенди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🟡 Середн.</w:t>
            </w:r>
          </w:p>
        </w:tc>
      </w:tr>
      <w:tr>
        <w:tc>
          <w:tcPr>
            <w:tcW w:type="dxa" w:w="8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17%</w:t>
            </w:r>
          </w:p>
        </w:tc>
        <w:tc>
          <w:tcPr>
            <w:tcW w:type="dxa" w:w="26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Відень + Зальцбург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A7A"/>
                <w:sz w:val="17"/>
                <w:szCs w:val="17"/>
              </w:rPr>
              <w:t xml:space="preserve">~11 турів</w:t>
            </w:r>
          </w:p>
        </w:tc>
        <w:tc>
          <w:tcPr>
            <w:tcW w:type="dxa" w:w="3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Австрійський напрямок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🟡 Середн.</w:t>
            </w:r>
          </w:p>
        </w:tc>
      </w:tr>
      <w:tr>
        <w:tc>
          <w:tcPr>
            <w:tcW w:type="dxa" w:w="8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14%</w:t>
            </w:r>
          </w:p>
        </w:tc>
        <w:tc>
          <w:tcPr>
            <w:tcW w:type="dxa" w:w="26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Адріатика + Доломіти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A7A"/>
                <w:sz w:val="17"/>
                <w:szCs w:val="17"/>
              </w:rPr>
              <w:t xml:space="preserve">~17 турів</w:t>
            </w:r>
          </w:p>
        </w:tc>
        <w:tc>
          <w:tcPr>
            <w:tcW w:type="dxa" w:w="3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Комбінований продукт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🟢 Низьк.</w:t>
            </w:r>
          </w:p>
        </w:tc>
      </w:tr>
      <w:tr>
        <w:tc>
          <w:tcPr>
            <w:tcW w:type="dxa" w:w="8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14%</w:t>
            </w:r>
          </w:p>
        </w:tc>
        <w:tc>
          <w:tcPr>
            <w:tcW w:type="dxa" w:w="26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Швейцарія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A7A"/>
                <w:sz w:val="17"/>
                <w:szCs w:val="17"/>
              </w:rPr>
              <w:t xml:space="preserve">~13 турів</w:t>
            </w:r>
          </w:p>
        </w:tc>
        <w:tc>
          <w:tcPr>
            <w:tcW w:type="dxa" w:w="3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Преміальний горський тур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🟢 Низьк.</w:t>
            </w:r>
          </w:p>
        </w:tc>
      </w:tr>
      <w:tr>
        <w:tc>
          <w:tcPr>
            <w:tcW w:type="dxa" w:w="8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13%</w:t>
            </w:r>
          </w:p>
        </w:tc>
        <w:tc>
          <w:tcPr>
            <w:tcW w:type="dxa" w:w="26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Мілан - Комо - Альпи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A7A"/>
                <w:sz w:val="17"/>
                <w:szCs w:val="17"/>
              </w:rPr>
              <w:t xml:space="preserve">~43 тури</w:t>
            </w:r>
          </w:p>
        </w:tc>
        <w:tc>
          <w:tcPr>
            <w:tcW w:type="dxa" w:w="3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Найпопулярніший Італія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🟢 Низьк.</w:t>
            </w:r>
          </w:p>
        </w:tc>
      </w:tr>
      <w:tr>
        <w:tc>
          <w:tcPr>
            <w:tcW w:type="dxa" w:w="8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13%</w:t>
            </w:r>
          </w:p>
        </w:tc>
        <w:tc>
          <w:tcPr>
            <w:tcW w:type="dxa" w:w="26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Париж + Нормандія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A7A"/>
                <w:sz w:val="17"/>
                <w:szCs w:val="17"/>
              </w:rPr>
              <w:t xml:space="preserve">~38 турів</w:t>
            </w:r>
          </w:p>
        </w:tc>
        <w:tc>
          <w:tcPr>
            <w:tcW w:type="dxa" w:w="3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Другий по обсягу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🟢 Низьк.</w:t>
            </w:r>
          </w:p>
        </w:tc>
      </w:tr>
      <w:tr>
        <w:tc>
          <w:tcPr>
            <w:tcW w:type="dxa" w:w="8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12%</w:t>
            </w:r>
          </w:p>
        </w:tc>
        <w:tc>
          <w:tcPr>
            <w:tcW w:type="dxa" w:w="26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Стамбул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A7A"/>
                <w:sz w:val="17"/>
                <w:szCs w:val="17"/>
              </w:rPr>
              <w:t xml:space="preserve">~28 турів</w:t>
            </w:r>
          </w:p>
        </w:tc>
        <w:tc>
          <w:tcPr>
            <w:tcW w:type="dxa" w:w="3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Туреччина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🟢 Низьк.</w:t>
            </w:r>
          </w:p>
        </w:tc>
      </w:tr>
      <w:tr>
        <w:tc>
          <w:tcPr>
            <w:tcW w:type="dxa" w:w="8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10%</w:t>
            </w:r>
          </w:p>
        </w:tc>
        <w:tc>
          <w:tcPr>
            <w:tcW w:type="dxa" w:w="26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Греція (Asteris + інші)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A7A"/>
                <w:sz w:val="17"/>
                <w:szCs w:val="17"/>
              </w:rPr>
              <w:t xml:space="preserve">~34 тури</w:t>
            </w:r>
          </w:p>
        </w:tc>
        <w:tc>
          <w:tcPr>
            <w:tcW w:type="dxa" w:w="3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Мінімальна комісія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🟢 Низьк.</w:t>
            </w:r>
          </w:p>
        </w:tc>
      </w:tr>
      <w:tr>
        <w:tc>
          <w:tcPr>
            <w:tcW w:type="dxa" w:w="8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10%</w:t>
            </w:r>
          </w:p>
        </w:tc>
        <w:tc>
          <w:tcPr>
            <w:tcW w:type="dxa" w:w="26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Морська Італія, Чорногорія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A7A"/>
                <w:sz w:val="17"/>
                <w:szCs w:val="17"/>
              </w:rPr>
              <w:t xml:space="preserve">~28 турів</w:t>
            </w:r>
          </w:p>
        </w:tc>
        <w:tc>
          <w:tcPr>
            <w:tcW w:type="dxa" w:w="3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Море, низька комісія</w:t>
            </w:r>
          </w:p>
        </w:tc>
        <w:tc>
          <w:tcPr>
            <w:tcW w:type="dxa" w:w="10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🟢 Низьк.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Середня комісія по всій базі: 16.4% | Мін: 10% | Макс: 30% | 8 унікальних рівнів ставок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91C1C"/>
          <w:sz w:val="18"/>
          <w:szCs w:val="18"/>
        </w:rPr>
        <w:t xml:space="preserve">Будапешт+Відень (30%) — маржа туру лише 14.5%. Реальна маржа після виплати комісії: 14.5% − 30% = від'ємна. Потребує перегляду ціноутворення або зниження комісії.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5803D"/>
          <w:sz w:val="18"/>
          <w:szCs w:val="18"/>
        </w:rPr>
        <w:t xml:space="preserve">Польща (20% ком, 36.8% маржа) — залишається 16.8% чистої маржі після агента. Найкращий баланс в портфелі.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5803D"/>
          <w:sz w:val="18"/>
          <w:szCs w:val="18"/>
        </w:rPr>
        <w:t xml:space="preserve">Іспанія (10% ком, 36.6% маржа) — друге місце по чистій маржі після агента: 26.6%. Потенціал для розширення агентського каналу.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1"/>
        <w:pBdr>
          <w:bottom w:val="single" w:color="2D70B9" w:sz="6" w:space="1"/>
        </w:pBdr>
        <w:spacing w:after="180" w:before="3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РОЗДІЛ 5: Сезонність виїздів 2026</w:t>
      </w:r>
    </w:p>
    <w:p>
      <w:pPr>
        <w:spacing w:before="160"/>
      </w:pP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1300"/>
        <w:gridCol w:w="2200"/>
        <w:gridCol w:w="2400"/>
      </w:tblGrid>
      <w:tr>
        <w:trPr>
          <w:tblHeader/>
        </w:trPr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Місяць</w:t>
            </w:r>
          </w:p>
        </w:tc>
        <w:tc>
          <w:tcPr>
            <w:tcW w:type="dxa" w:w="7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Виїздів</w:t>
            </w:r>
          </w:p>
        </w:tc>
        <w:tc>
          <w:tcPr>
            <w:tcW w:type="dxa" w:w="13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Рівень</w:t>
            </w:r>
          </w:p>
        </w:tc>
        <w:tc>
          <w:tcPr>
            <w:tcW w:type="dxa" w:w="2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Активні напрямки</w:t>
            </w:r>
          </w:p>
        </w:tc>
        <w:tc>
          <w:tcPr>
            <w:tcW w:type="dxa" w:w="24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Коментар</w:t>
            </w:r>
          </w:p>
        </w:tc>
      </w:tr>
      <w:tr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Січень</w:t>
            </w:r>
          </w:p>
        </w:tc>
        <w:tc>
          <w:tcPr>
            <w:tcW w:type="dxa" w:w="7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A"/>
                <w:sz w:val="18"/>
                <w:szCs w:val="18"/>
              </w:rPr>
              <w:t xml:space="preserve">17</w:t>
            </w:r>
          </w:p>
        </w:tc>
        <w:tc>
          <w:tcPr>
            <w:tcW w:type="dxa" w:w="13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🔵 Низький</w:t>
            </w:r>
          </w:p>
        </w:tc>
        <w:tc>
          <w:tcPr>
            <w:tcW w:type="dxa" w:w="2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A7A"/>
                <w:sz w:val="17"/>
                <w:szCs w:val="17"/>
              </w:rPr>
              <w:t xml:space="preserve">Лапландія, зимові тури</w:t>
            </w:r>
          </w:p>
        </w:tc>
        <w:tc>
          <w:tcPr>
            <w:tcW w:type="dxa" w:w="24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Точкові пропозиції</w:t>
            </w:r>
          </w:p>
        </w:tc>
      </w:tr>
      <w:tr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Лютий</w:t>
            </w:r>
          </w:p>
        </w:tc>
        <w:tc>
          <w:tcPr>
            <w:tcW w:type="dxa" w:w="7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A"/>
                <w:sz w:val="18"/>
                <w:szCs w:val="18"/>
              </w:rPr>
              <w:t xml:space="preserve">9</w:t>
            </w:r>
          </w:p>
        </w:tc>
        <w:tc>
          <w:tcPr>
            <w:tcW w:type="dxa" w:w="13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🔵 Мінімум</w:t>
            </w:r>
          </w:p>
        </w:tc>
        <w:tc>
          <w:tcPr>
            <w:tcW w:type="dxa" w:w="2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A7A"/>
                <w:sz w:val="17"/>
                <w:szCs w:val="17"/>
              </w:rPr>
              <w:t xml:space="preserve">Лапландія, Стамбул</w:t>
            </w:r>
          </w:p>
        </w:tc>
        <w:tc>
          <w:tcPr>
            <w:tcW w:type="dxa" w:w="24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Найнижче — пропасти немає</w:t>
            </w:r>
          </w:p>
        </w:tc>
      </w:tr>
      <w:tr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Березень</w:t>
            </w:r>
          </w:p>
        </w:tc>
        <w:tc>
          <w:tcPr>
            <w:tcW w:type="dxa" w:w="7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8"/>
                <w:szCs w:val="18"/>
              </w:rPr>
              <w:t xml:space="preserve">43</w:t>
            </w:r>
          </w:p>
        </w:tc>
        <w:tc>
          <w:tcPr>
            <w:tcW w:type="dxa" w:w="13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🟡 Передсезон</w:t>
            </w:r>
          </w:p>
        </w:tc>
        <w:tc>
          <w:tcPr>
            <w:tcW w:type="dxa" w:w="2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A7A"/>
                <w:sz w:val="17"/>
                <w:szCs w:val="17"/>
              </w:rPr>
              <w:t xml:space="preserve">Будапешт, Прага, Відень</w:t>
            </w:r>
          </w:p>
        </w:tc>
        <w:tc>
          <w:tcPr>
            <w:tcW w:type="dxa" w:w="24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Запуск весняних продажів</w:t>
            </w:r>
          </w:p>
        </w:tc>
      </w:tr>
      <w:tr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Квітень</w:t>
            </w:r>
          </w:p>
        </w:tc>
        <w:tc>
          <w:tcPr>
            <w:tcW w:type="dxa" w:w="7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8"/>
                <w:szCs w:val="18"/>
              </w:rPr>
              <w:t xml:space="preserve">50</w:t>
            </w:r>
          </w:p>
        </w:tc>
        <w:tc>
          <w:tcPr>
            <w:tcW w:type="dxa" w:w="13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🟡 Передсезон</w:t>
            </w:r>
          </w:p>
        </w:tc>
        <w:tc>
          <w:tcPr>
            <w:tcW w:type="dxa" w:w="2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A7A"/>
                <w:sz w:val="17"/>
                <w:szCs w:val="17"/>
              </w:rPr>
              <w:t xml:space="preserve">Весь портфель активний</w:t>
            </w:r>
          </w:p>
        </w:tc>
        <w:tc>
          <w:tcPr>
            <w:tcW w:type="dxa" w:w="24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Пік попередніх продажів</w:t>
            </w:r>
          </w:p>
        </w:tc>
      </w:tr>
      <w:tr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Травень</w:t>
            </w:r>
          </w:p>
        </w:tc>
        <w:tc>
          <w:tcPr>
            <w:tcW w:type="dxa" w:w="7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8"/>
                <w:szCs w:val="18"/>
              </w:rPr>
              <w:t xml:space="preserve">38</w:t>
            </w:r>
          </w:p>
        </w:tc>
        <w:tc>
          <w:tcPr>
            <w:tcW w:type="dxa" w:w="13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🟢 Сезон</w:t>
            </w:r>
          </w:p>
        </w:tc>
        <w:tc>
          <w:tcPr>
            <w:tcW w:type="dxa" w:w="2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A7A"/>
                <w:sz w:val="17"/>
                <w:szCs w:val="17"/>
              </w:rPr>
              <w:t xml:space="preserve">Євротури, морські</w:t>
            </w:r>
          </w:p>
        </w:tc>
        <w:tc>
          <w:tcPr>
            <w:tcW w:type="dxa" w:w="24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Старт морського напрямку</w:t>
            </w:r>
          </w:p>
        </w:tc>
      </w:tr>
      <w:tr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Червень</w:t>
            </w:r>
          </w:p>
        </w:tc>
        <w:tc>
          <w:tcPr>
            <w:tcW w:type="dxa" w:w="7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8"/>
                <w:szCs w:val="18"/>
              </w:rPr>
              <w:t xml:space="preserve">60</w:t>
            </w:r>
          </w:p>
        </w:tc>
        <w:tc>
          <w:tcPr>
            <w:tcW w:type="dxa" w:w="13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🟢 Пік</w:t>
            </w:r>
          </w:p>
        </w:tc>
        <w:tc>
          <w:tcPr>
            <w:tcW w:type="dxa" w:w="2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A7A"/>
                <w:sz w:val="17"/>
                <w:szCs w:val="17"/>
              </w:rPr>
              <w:t xml:space="preserve">Всі напрямки</w:t>
            </w:r>
          </w:p>
        </w:tc>
        <w:tc>
          <w:tcPr>
            <w:tcW w:type="dxa" w:w="24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Максимальна завантаженість</w:t>
            </w:r>
          </w:p>
        </w:tc>
      </w:tr>
      <w:tr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Липень</w:t>
            </w:r>
          </w:p>
        </w:tc>
        <w:tc>
          <w:tcPr>
            <w:tcW w:type="dxa" w:w="7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8"/>
                <w:szCs w:val="18"/>
              </w:rPr>
              <w:t xml:space="preserve">63</w:t>
            </w:r>
          </w:p>
        </w:tc>
        <w:tc>
          <w:tcPr>
            <w:tcW w:type="dxa" w:w="13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🟢 Абсолютний пік</w:t>
            </w:r>
          </w:p>
        </w:tc>
        <w:tc>
          <w:tcPr>
            <w:tcW w:type="dxa" w:w="2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A7A"/>
                <w:sz w:val="17"/>
                <w:szCs w:val="17"/>
              </w:rPr>
              <w:t xml:space="preserve">Море, Греція, Чорногорія</w:t>
            </w:r>
          </w:p>
        </w:tc>
        <w:tc>
          <w:tcPr>
            <w:tcW w:type="dxa" w:w="24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Критична операційна роль</w:t>
            </w:r>
          </w:p>
        </w:tc>
      </w:tr>
      <w:tr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Серпень</w:t>
            </w:r>
          </w:p>
        </w:tc>
        <w:tc>
          <w:tcPr>
            <w:tcW w:type="dxa" w:w="7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8"/>
                <w:szCs w:val="18"/>
              </w:rPr>
              <w:t xml:space="preserve">54</w:t>
            </w:r>
          </w:p>
        </w:tc>
        <w:tc>
          <w:tcPr>
            <w:tcW w:type="dxa" w:w="13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🟢 Пік</w:t>
            </w:r>
          </w:p>
        </w:tc>
        <w:tc>
          <w:tcPr>
            <w:tcW w:type="dxa" w:w="2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A7A"/>
                <w:sz w:val="17"/>
                <w:szCs w:val="17"/>
              </w:rPr>
              <w:t xml:space="preserve">Морські + євротури</w:t>
            </w:r>
          </w:p>
        </w:tc>
        <w:tc>
          <w:tcPr>
            <w:tcW w:type="dxa" w:w="24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Серпень — другий по обсягу</w:t>
            </w:r>
          </w:p>
        </w:tc>
      </w:tr>
      <w:tr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Вересень</w:t>
            </w:r>
          </w:p>
        </w:tc>
        <w:tc>
          <w:tcPr>
            <w:tcW w:type="dxa" w:w="7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8"/>
                <w:szCs w:val="18"/>
              </w:rPr>
              <w:t xml:space="preserve">52</w:t>
            </w:r>
          </w:p>
        </w:tc>
        <w:tc>
          <w:tcPr>
            <w:tcW w:type="dxa" w:w="13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🟢 Пік</w:t>
            </w:r>
          </w:p>
        </w:tc>
        <w:tc>
          <w:tcPr>
            <w:tcW w:type="dxa" w:w="2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A7A"/>
                <w:sz w:val="17"/>
                <w:szCs w:val="17"/>
              </w:rPr>
              <w:t xml:space="preserve">Євротури (осінь)</w:t>
            </w:r>
          </w:p>
        </w:tc>
        <w:tc>
          <w:tcPr>
            <w:tcW w:type="dxa" w:w="24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Золота осінь — активний попит</w:t>
            </w:r>
          </w:p>
        </w:tc>
      </w:tr>
      <w:tr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Жовтень</w:t>
            </w:r>
          </w:p>
        </w:tc>
        <w:tc>
          <w:tcPr>
            <w:tcW w:type="dxa" w:w="7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8"/>
                <w:szCs w:val="18"/>
              </w:rPr>
              <w:t xml:space="preserve">47</w:t>
            </w:r>
          </w:p>
        </w:tc>
        <w:tc>
          <w:tcPr>
            <w:tcW w:type="dxa" w:w="13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🟡 Постсезон</w:t>
            </w:r>
          </w:p>
        </w:tc>
        <w:tc>
          <w:tcPr>
            <w:tcW w:type="dxa" w:w="2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A7A"/>
                <w:sz w:val="17"/>
                <w:szCs w:val="17"/>
              </w:rPr>
              <w:t xml:space="preserve">Євротури, Стамбул</w:t>
            </w:r>
          </w:p>
        </w:tc>
        <w:tc>
          <w:tcPr>
            <w:tcW w:type="dxa" w:w="24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Стійкий попит осінню</w:t>
            </w:r>
          </w:p>
        </w:tc>
      </w:tr>
      <w:tr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Листопад</w:t>
            </w:r>
          </w:p>
        </w:tc>
        <w:tc>
          <w:tcPr>
            <w:tcW w:type="dxa" w:w="7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A7A"/>
                <w:sz w:val="18"/>
                <w:szCs w:val="18"/>
              </w:rPr>
              <w:t xml:space="preserve">17</w:t>
            </w:r>
          </w:p>
        </w:tc>
        <w:tc>
          <w:tcPr>
            <w:tcW w:type="dxa" w:w="13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🔵 Низький</w:t>
            </w:r>
          </w:p>
        </w:tc>
        <w:tc>
          <w:tcPr>
            <w:tcW w:type="dxa" w:w="2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A7A"/>
                <w:sz w:val="17"/>
                <w:szCs w:val="17"/>
              </w:rPr>
              <w:t xml:space="preserve">Різдвяні тури, Стамбул</w:t>
            </w:r>
          </w:p>
        </w:tc>
        <w:tc>
          <w:tcPr>
            <w:tcW w:type="dxa" w:w="24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Передріздвяний мінімум</w:t>
            </w:r>
          </w:p>
        </w:tc>
      </w:tr>
      <w:tr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Грудень</w:t>
            </w:r>
          </w:p>
        </w:tc>
        <w:tc>
          <w:tcPr>
            <w:tcW w:type="dxa" w:w="7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8"/>
                <w:szCs w:val="18"/>
              </w:rPr>
              <w:t xml:space="preserve">45</w:t>
            </w:r>
          </w:p>
        </w:tc>
        <w:tc>
          <w:tcPr>
            <w:tcW w:type="dxa" w:w="13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🟡 Різдво</w:t>
            </w:r>
          </w:p>
        </w:tc>
        <w:tc>
          <w:tcPr>
            <w:tcW w:type="dxa" w:w="2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A7A"/>
                <w:sz w:val="17"/>
                <w:szCs w:val="17"/>
              </w:rPr>
              <w:t xml:space="preserve">Різдвяні ярмарки Європи</w:t>
            </w:r>
          </w:p>
        </w:tc>
        <w:tc>
          <w:tcPr>
            <w:tcW w:type="dxa" w:w="24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Ринок різдвяних подорожей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📌 Операційний пік: червень–вересень (229 виїздів = 46% від усього календаря). Максимальна потреба в операційних менеджерах та гідах в цей період.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1"/>
        <w:pBdr>
          <w:bottom w:val="single" w:color="2D70B9" w:sz="6" w:space="1"/>
        </w:pBdr>
        <w:spacing w:after="180" w:before="3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РОЗДІЛ 6: KPI специфікація для Dashboard.tsx (Frontend)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Перелік обов'язкових метрик для дашборду керівника. Кожен KPI описаний з формулою, API-ендпойнтом, порогами та типом UI-компонента.</w:t>
      </w:r>
    </w:p>
    <w:p>
      <w:pPr>
        <w:spacing w:before="16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200"/>
        <w:gridCol w:w="1400"/>
        <w:gridCol w:w="1700"/>
        <w:gridCol w:w="1300"/>
        <w:gridCol w:w="1400"/>
        <w:gridCol w:w="1300"/>
        <w:gridCol w:w="900"/>
      </w:tblGrid>
      <w:tr>
        <w:trPr>
          <w:tblHeader/>
        </w:trPr>
        <w:tc>
          <w:tcPr>
            <w:tcW w:type="dxa" w:w="3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KPI ID</w:t>
            </w:r>
          </w:p>
        </w:tc>
        <w:tc>
          <w:tcPr>
            <w:tcW w:type="dxa" w:w="14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Назва</w:t>
            </w:r>
          </w:p>
        </w:tc>
        <w:tc>
          <w:tcPr>
            <w:tcW w:type="dxa" w:w="17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Формула</w:t>
            </w:r>
          </w:p>
        </w:tc>
        <w:tc>
          <w:tcPr>
            <w:tcW w:type="dxa" w:w="13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API endpoint</w:t>
            </w:r>
          </w:p>
        </w:tc>
        <w:tc>
          <w:tcPr>
            <w:tcW w:type="dxa" w:w="14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Порогові значення</w:t>
            </w:r>
          </w:p>
        </w:tc>
        <w:tc>
          <w:tcPr>
            <w:tcW w:type="dxa" w:w="13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UI компонент</w:t>
            </w:r>
          </w:p>
        </w:tc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Ролі</w:t>
            </w:r>
          </w:p>
        </w:tc>
      </w:tr>
      <w:tr>
        <w:tc>
          <w:tcPr>
            <w:tcW w:type="dxa" w:w="3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6"/>
                <w:szCs w:val="16"/>
              </w:rPr>
              <w:t xml:space="preserve">Tour Fill Rate</w:t>
            </w:r>
          </w:p>
        </w:tc>
        <w:tc>
          <w:tcPr>
            <w:tcW w:type="dxa" w:w="14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Заповненість туру (%)</w:t>
            </w:r>
          </w:p>
        </w:tc>
        <w:tc>
          <w:tcPr>
            <w:tcW w:type="dxa" w:w="17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A"/>
                <w:sz w:val="15"/>
                <w:szCs w:val="15"/>
              </w:rPr>
              <w:t xml:space="preserve">booked_seats / total_seats × 100</w:t>
            </w:r>
          </w:p>
        </w:tc>
        <w:tc>
          <w:tcPr>
            <w:tcW w:type="dxa" w:w="13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D70B9"/>
                <w:sz w:val="15"/>
                <w:szCs w:val="15"/>
              </w:rPr>
              <w:t xml:space="preserve">GET /tours/:id/stats</w:t>
            </w:r>
          </w:p>
        </w:tc>
        <w:tc>
          <w:tcPr>
            <w:tcW w:type="dxa" w:w="14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≥85% 🟢 | 60–84% 🟡 | &lt;60% 🔴</w:t>
            </w:r>
          </w:p>
        </w:tc>
        <w:tc>
          <w:tcPr>
            <w:tcW w:type="dxa" w:w="13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6"/>
                <w:szCs w:val="16"/>
              </w:rPr>
              <w:t xml:space="preserve">Progress bar + % число</w:t>
            </w:r>
          </w:p>
        </w:tc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A7A"/>
                <w:sz w:val="15"/>
                <w:szCs w:val="15"/>
              </w:rPr>
              <w:t xml:space="preserve">Всі ролі</w:t>
            </w:r>
          </w:p>
        </w:tc>
      </w:tr>
      <w:tr>
        <w:tc>
          <w:tcPr>
            <w:tcW w:type="dxa" w:w="3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6"/>
                <w:szCs w:val="16"/>
              </w:rPr>
              <w:t xml:space="preserve">Lead Conversion</w:t>
            </w:r>
          </w:p>
        </w:tc>
        <w:tc>
          <w:tcPr>
            <w:tcW w:type="dxa" w:w="14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Конверсія лідів (%)</w:t>
            </w:r>
          </w:p>
        </w:tc>
        <w:tc>
          <w:tcPr>
            <w:tcW w:type="dxa" w:w="17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A"/>
                <w:sz w:val="15"/>
                <w:szCs w:val="15"/>
              </w:rPr>
              <w:t xml:space="preserve">leads_converted / total_leads × 100</w:t>
            </w:r>
          </w:p>
        </w:tc>
        <w:tc>
          <w:tcPr>
            <w:tcW w:type="dxa" w:w="13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D70B9"/>
                <w:sz w:val="15"/>
                <w:szCs w:val="15"/>
              </w:rPr>
              <w:t xml:space="preserve">GET /leads/stats</w:t>
            </w:r>
          </w:p>
        </w:tc>
        <w:tc>
          <w:tcPr>
            <w:tcW w:type="dxa" w:w="14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≥35% 🟢 | 20–34% 🟡 | &lt;20% 🔴</w:t>
            </w:r>
          </w:p>
        </w:tc>
        <w:tc>
          <w:tcPr>
            <w:tcW w:type="dxa" w:w="13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6"/>
                <w:szCs w:val="16"/>
              </w:rPr>
              <w:t xml:space="preserve">Gauge chart / велика цифра</w:t>
            </w:r>
          </w:p>
        </w:tc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A7A"/>
                <w:sz w:val="15"/>
                <w:szCs w:val="15"/>
              </w:rPr>
              <w:t xml:space="preserve">Менеджер, Керівник</w:t>
            </w:r>
          </w:p>
        </w:tc>
      </w:tr>
      <w:tr>
        <w:tc>
          <w:tcPr>
            <w:tcW w:type="dxa" w:w="3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3</w:t>
            </w:r>
          </w:p>
        </w:tc>
        <w:tc>
          <w:tcPr>
            <w:tcW w:type="dxa" w:w="1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6"/>
                <w:szCs w:val="16"/>
              </w:rPr>
              <w:t xml:space="preserve">Avg Check EUR</w:t>
            </w:r>
          </w:p>
        </w:tc>
        <w:tc>
          <w:tcPr>
            <w:tcW w:type="dxa" w:w="14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Середній чек (EUR)</w:t>
            </w:r>
          </w:p>
        </w:tc>
        <w:tc>
          <w:tcPr>
            <w:tcW w:type="dxa" w:w="17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A"/>
                <w:sz w:val="15"/>
                <w:szCs w:val="15"/>
              </w:rPr>
              <w:t xml:space="preserve">SUM(bookings.price) / COUNT(confirmed)</w:t>
            </w:r>
          </w:p>
        </w:tc>
        <w:tc>
          <w:tcPr>
            <w:tcW w:type="dxa" w:w="13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D70B9"/>
                <w:sz w:val="15"/>
                <w:szCs w:val="15"/>
              </w:rPr>
              <w:t xml:space="preserve">GET /bookings/stats</w:t>
            </w:r>
          </w:p>
        </w:tc>
        <w:tc>
          <w:tcPr>
            <w:tcW w:type="dxa" w:w="14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≥280€ 🟢 | 200-279€ 🟡 | &lt;200€ 🔴</w:t>
            </w:r>
          </w:p>
        </w:tc>
        <w:tc>
          <w:tcPr>
            <w:tcW w:type="dxa" w:w="13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6"/>
                <w:szCs w:val="16"/>
              </w:rPr>
              <w:t xml:space="preserve">KPI card + trend sparkline</w:t>
            </w:r>
          </w:p>
        </w:tc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A7A"/>
                <w:sz w:val="15"/>
                <w:szCs w:val="15"/>
              </w:rPr>
              <w:t xml:space="preserve">Менеджер, Керівник</w:t>
            </w:r>
          </w:p>
        </w:tc>
      </w:tr>
      <w:tr>
        <w:tc>
          <w:tcPr>
            <w:tcW w:type="dxa" w:w="3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4</w:t>
            </w:r>
          </w:p>
        </w:tc>
        <w:tc>
          <w:tcPr>
            <w:tcW w:type="dxa" w:w="1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6"/>
                <w:szCs w:val="16"/>
              </w:rPr>
              <w:t xml:space="preserve">Revenue by Channel</w:t>
            </w:r>
          </w:p>
        </w:tc>
        <w:tc>
          <w:tcPr>
            <w:tcW w:type="dxa" w:w="14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Дохід по каналу</w:t>
            </w:r>
          </w:p>
        </w:tc>
        <w:tc>
          <w:tcPr>
            <w:tcW w:type="dxa" w:w="17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A"/>
                <w:sz w:val="15"/>
                <w:szCs w:val="15"/>
              </w:rPr>
              <w:t xml:space="preserve">SUM(price) GROUP BY channel</w:t>
            </w:r>
          </w:p>
        </w:tc>
        <w:tc>
          <w:tcPr>
            <w:tcW w:type="dxa" w:w="13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D70B9"/>
                <w:sz w:val="15"/>
                <w:szCs w:val="15"/>
              </w:rPr>
              <w:t xml:space="preserve">GET /analytics/revenue</w:t>
            </w:r>
          </w:p>
        </w:tc>
        <w:tc>
          <w:tcPr>
            <w:tcW w:type="dxa" w:w="14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Agent ≥30% від total</w:t>
            </w:r>
          </w:p>
        </w:tc>
        <w:tc>
          <w:tcPr>
            <w:tcW w:type="dxa" w:w="13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6"/>
                <w:szCs w:val="16"/>
              </w:rPr>
              <w:t xml:space="preserve">Doughnut chart</w:t>
            </w:r>
          </w:p>
        </w:tc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A7A"/>
                <w:sz w:val="15"/>
                <w:szCs w:val="15"/>
              </w:rPr>
              <w:t xml:space="preserve">Керівник, Директор</w:t>
            </w:r>
          </w:p>
        </w:tc>
      </w:tr>
      <w:tr>
        <w:tc>
          <w:tcPr>
            <w:tcW w:type="dxa" w:w="3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5</w:t>
            </w:r>
          </w:p>
        </w:tc>
        <w:tc>
          <w:tcPr>
            <w:tcW w:type="dxa" w:w="1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6"/>
                <w:szCs w:val="16"/>
              </w:rPr>
              <w:t xml:space="preserve">Net Margin %</w:t>
            </w:r>
          </w:p>
        </w:tc>
        <w:tc>
          <w:tcPr>
            <w:tcW w:type="dxa" w:w="14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Маржа туру (%)</w:t>
            </w:r>
          </w:p>
        </w:tc>
        <w:tc>
          <w:tcPr>
            <w:tcW w:type="dxa" w:w="17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A"/>
                <w:sz w:val="15"/>
                <w:szCs w:val="15"/>
              </w:rPr>
              <w:t xml:space="preserve">(price - cost_price) / price × 100</w:t>
            </w:r>
          </w:p>
        </w:tc>
        <w:tc>
          <w:tcPr>
            <w:tcW w:type="dxa" w:w="13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D70B9"/>
                <w:sz w:val="15"/>
                <w:szCs w:val="15"/>
              </w:rPr>
              <w:t xml:space="preserve">GET /tours/:id/finance</w:t>
            </w:r>
          </w:p>
        </w:tc>
        <w:tc>
          <w:tcPr>
            <w:tcW w:type="dxa" w:w="14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≥15% 🟢 | 8-14% 🟡 | &lt;8% 🔴</w:t>
            </w:r>
          </w:p>
        </w:tc>
        <w:tc>
          <w:tcPr>
            <w:tcW w:type="dxa" w:w="13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6"/>
                <w:szCs w:val="16"/>
              </w:rPr>
              <w:t xml:space="preserve">Bar chart по напрямках</w:t>
            </w:r>
          </w:p>
        </w:tc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A7A"/>
                <w:sz w:val="15"/>
                <w:szCs w:val="15"/>
              </w:rPr>
              <w:t xml:space="preserve">Admin, Директор (BR-04)</w:t>
            </w:r>
          </w:p>
        </w:tc>
      </w:tr>
      <w:tr>
        <w:tc>
          <w:tcPr>
            <w:tcW w:type="dxa" w:w="3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6</w:t>
            </w:r>
          </w:p>
        </w:tc>
        <w:tc>
          <w:tcPr>
            <w:tcW w:type="dxa" w:w="1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6"/>
                <w:szCs w:val="16"/>
              </w:rPr>
              <w:t xml:space="preserve">Active Bookings</w:t>
            </w:r>
          </w:p>
        </w:tc>
        <w:tc>
          <w:tcPr>
            <w:tcW w:type="dxa" w:w="14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Активних бронювань</w:t>
            </w:r>
          </w:p>
        </w:tc>
        <w:tc>
          <w:tcPr>
            <w:tcW w:type="dxa" w:w="17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A"/>
                <w:sz w:val="15"/>
                <w:szCs w:val="15"/>
              </w:rPr>
              <w:t xml:space="preserve">COUNT status IN (confirmed, partial, awaiting)</w:t>
            </w:r>
          </w:p>
        </w:tc>
        <w:tc>
          <w:tcPr>
            <w:tcW w:type="dxa" w:w="13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D70B9"/>
                <w:sz w:val="15"/>
                <w:szCs w:val="15"/>
              </w:rPr>
              <w:t xml:space="preserve">GET /bookings?status=active</w:t>
            </w:r>
          </w:p>
        </w:tc>
        <w:tc>
          <w:tcPr>
            <w:tcW w:type="dxa" w:w="14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Динамічний, тренд</w:t>
            </w:r>
          </w:p>
        </w:tc>
        <w:tc>
          <w:tcPr>
            <w:tcW w:type="dxa" w:w="13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6"/>
                <w:szCs w:val="16"/>
              </w:rPr>
              <w:t xml:space="preserve">KPI card + δ за тиждень</w:t>
            </w:r>
          </w:p>
        </w:tc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A7A"/>
                <w:sz w:val="15"/>
                <w:szCs w:val="15"/>
              </w:rPr>
              <w:t xml:space="preserve">Всі внутрішні</w:t>
            </w:r>
          </w:p>
        </w:tc>
      </w:tr>
      <w:tr>
        <w:tc>
          <w:tcPr>
            <w:tcW w:type="dxa" w:w="3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7</w:t>
            </w:r>
          </w:p>
        </w:tc>
        <w:tc>
          <w:tcPr>
            <w:tcW w:type="dxa" w:w="1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6"/>
                <w:szCs w:val="16"/>
              </w:rPr>
              <w:t xml:space="preserve">Commission Pool</w:t>
            </w:r>
          </w:p>
        </w:tc>
        <w:tc>
          <w:tcPr>
            <w:tcW w:type="dxa" w:w="14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Нарахованих комісій</w:t>
            </w:r>
          </w:p>
        </w:tc>
        <w:tc>
          <w:tcPr>
            <w:tcW w:type="dxa" w:w="17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A"/>
                <w:sz w:val="15"/>
                <w:szCs w:val="15"/>
              </w:rPr>
              <w:t xml:space="preserve">SUM(price × rate) WHERE confirmed</w:t>
            </w:r>
          </w:p>
        </w:tc>
        <w:tc>
          <w:tcPr>
            <w:tcW w:type="dxa" w:w="13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D70B9"/>
                <w:sz w:val="15"/>
                <w:szCs w:val="15"/>
              </w:rPr>
              <w:t xml:space="preserve">GET /finance/commissions</w:t>
            </w:r>
          </w:p>
        </w:tc>
        <w:tc>
          <w:tcPr>
            <w:tcW w:type="dxa" w:w="14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Інформаційний</w:t>
            </w:r>
          </w:p>
        </w:tc>
        <w:tc>
          <w:tcPr>
            <w:tcW w:type="dxa" w:w="13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6"/>
                <w:szCs w:val="16"/>
              </w:rPr>
              <w:t xml:space="preserve">KPI card (admin only)</w:t>
            </w:r>
          </w:p>
        </w:tc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A7A"/>
                <w:sz w:val="15"/>
                <w:szCs w:val="15"/>
              </w:rPr>
              <w:t xml:space="preserve">Admin, Фінансист</w:t>
            </w:r>
          </w:p>
        </w:tc>
      </w:tr>
      <w:tr>
        <w:tc>
          <w:tcPr>
            <w:tcW w:type="dxa" w:w="3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8</w:t>
            </w:r>
          </w:p>
        </w:tc>
        <w:tc>
          <w:tcPr>
            <w:tcW w:type="dxa" w:w="1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6"/>
                <w:szCs w:val="16"/>
              </w:rPr>
              <w:t xml:space="preserve">Ready to Depart</w:t>
            </w:r>
          </w:p>
        </w:tc>
        <w:tc>
          <w:tcPr>
            <w:tcW w:type="dxa" w:w="14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Готових до виїзду (7д)</w:t>
            </w:r>
          </w:p>
        </w:tc>
        <w:tc>
          <w:tcPr>
            <w:tcW w:type="dxa" w:w="17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A"/>
                <w:sz w:val="15"/>
                <w:szCs w:val="15"/>
              </w:rPr>
              <w:t xml:space="preserve">COUNT status=ready WHERE depart ≤ now+7d</w:t>
            </w:r>
          </w:p>
        </w:tc>
        <w:tc>
          <w:tcPr>
            <w:tcW w:type="dxa" w:w="13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D70B9"/>
                <w:sz w:val="15"/>
                <w:szCs w:val="15"/>
              </w:rPr>
              <w:t xml:space="preserve">GET /tours/upcoming</w:t>
            </w:r>
          </w:p>
        </w:tc>
        <w:tc>
          <w:tcPr>
            <w:tcW w:type="dxa" w:w="14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🔴 якщо &lt;72год і не ready</w:t>
            </w:r>
          </w:p>
        </w:tc>
        <w:tc>
          <w:tcPr>
            <w:tcW w:type="dxa" w:w="13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6"/>
                <w:szCs w:val="16"/>
              </w:rPr>
              <w:t xml:space="preserve">Alert list / countdown</w:t>
            </w:r>
          </w:p>
        </w:tc>
        <w:tc>
          <w:tcPr>
            <w:tcW w:type="dxa" w:w="9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A7A"/>
                <w:sz w:val="15"/>
                <w:szCs w:val="15"/>
              </w:rPr>
              <w:t xml:space="preserve">Операційний менеджер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1"/>
        <w:pBdr>
          <w:bottom w:val="single" w:color="2D70B9" w:sz="6" w:space="1"/>
        </w:pBdr>
        <w:spacing w:after="180" w:before="3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РОЗДІЛ 7: Висновки та рекомендації</w:t>
      </w:r>
    </w:p>
    <w:p>
      <w:pPr>
        <w:spacing w:before="160"/>
      </w:pP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800"/>
        <w:gridCol w:w="1500"/>
      </w:tblGrid>
      <w:tr>
        <w:trPr>
          <w:tblHeader/>
        </w:trPr>
        <w:tc>
          <w:tcPr>
            <w:tcW w:type="dxa" w:w="1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Пріоритет</w:t>
            </w:r>
          </w:p>
        </w:tc>
        <w:tc>
          <w:tcPr>
            <w:tcW w:type="dxa" w:w="16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Область</w:t>
            </w:r>
          </w:p>
        </w:tc>
        <w:tc>
          <w:tcPr>
            <w:tcW w:type="dxa" w:w="48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Рекомендація</w:t>
            </w:r>
          </w:p>
        </w:tc>
        <w:tc>
          <w:tcPr>
            <w:tcW w:type="dxa" w:w="15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Власник</w:t>
            </w:r>
          </w:p>
        </w:tc>
      </w:tr>
      <w:tr>
        <w:tc>
          <w:tcPr>
            <w:tcW w:type="dxa" w:w="1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7"/>
                <w:szCs w:val="17"/>
              </w:rPr>
              <w:t xml:space="preserve">🔴 КРИТИЧНО</w:t>
            </w:r>
          </w:p>
        </w:tc>
        <w:tc>
          <w:tcPr>
            <w:tcW w:type="dxa" w:w="16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Маржа Угорщина</w:t>
            </w:r>
          </w:p>
        </w:tc>
        <w:tc>
          <w:tcPr>
            <w:tcW w:type="dxa" w:w="48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Будапешт+Відень: комісія 30% при маржі 14.5% — потенційно від'ємна операційна маржа. Переглянути ціноутворення або знизити комісію до 15-20%.</w:t>
            </w:r>
          </w:p>
        </w:tc>
        <w:tc>
          <w:tcPr>
            <w:tcW w:type="dxa" w:w="15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A"/>
                <w:sz w:val="16"/>
                <w:szCs w:val="16"/>
              </w:rPr>
              <w:t xml:space="preserve">Фінансист + Керівник</w:t>
            </w:r>
          </w:p>
        </w:tc>
      </w:tr>
      <w:tr>
        <w:tc>
          <w:tcPr>
            <w:tcW w:type="dxa" w:w="1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7"/>
                <w:szCs w:val="17"/>
              </w:rPr>
              <w:t xml:space="preserve">🔴 КРИТИЧНО</w:t>
            </w:r>
          </w:p>
        </w:tc>
        <w:tc>
          <w:tcPr>
            <w:tcW w:type="dxa" w:w="16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Маржа Франція/Греція</w:t>
            </w:r>
          </w:p>
        </w:tc>
        <w:tc>
          <w:tcPr>
            <w:tcW w:type="dxa" w:w="48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Тривалі тури (7-10 днів) з маржею 7-7.6%. При будь-яких непередбачених витратах — збитки. Підняти ціну або оптимізувати собівартість.</w:t>
            </w:r>
          </w:p>
        </w:tc>
        <w:tc>
          <w:tcPr>
            <w:tcW w:type="dxa" w:w="15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A"/>
                <w:sz w:val="16"/>
                <w:szCs w:val="16"/>
              </w:rPr>
              <w:t xml:space="preserve">Продакт-менеджер</w:t>
            </w:r>
          </w:p>
        </w:tc>
      </w:tr>
      <w:tr>
        <w:tc>
          <w:tcPr>
            <w:tcW w:type="dxa" w:w="1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🟡 ВАЖЛИВО</w:t>
            </w:r>
          </w:p>
        </w:tc>
        <w:tc>
          <w:tcPr>
            <w:tcW w:type="dxa" w:w="16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Диверсифікація Польща</w:t>
            </w:r>
          </w:p>
        </w:tc>
        <w:tc>
          <w:tcPr>
            <w:tcW w:type="dxa" w:w="48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36.8% маржа, 20.8% комісія агентам — чиста маржа ~16%. Потенціал для збільшення з 32 до 50-60 виїздів на рік.</w:t>
            </w:r>
          </w:p>
        </w:tc>
        <w:tc>
          <w:tcPr>
            <w:tcW w:type="dxa" w:w="15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A"/>
                <w:sz w:val="16"/>
                <w:szCs w:val="16"/>
              </w:rPr>
              <w:t xml:space="preserve">Менеджер з продажу</w:t>
            </w:r>
          </w:p>
        </w:tc>
      </w:tr>
      <w:tr>
        <w:tc>
          <w:tcPr>
            <w:tcW w:type="dxa" w:w="1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🟡 ВАЖЛИВО</w:t>
            </w:r>
          </w:p>
        </w:tc>
        <w:tc>
          <w:tcPr>
            <w:tcW w:type="dxa" w:w="16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Готельна база Верон/Іт</w:t>
            </w:r>
          </w:p>
        </w:tc>
        <w:tc>
          <w:tcPr>
            <w:tcW w:type="dxa" w:w="48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78.7% готелів лише з Італії. Розширити базу по Угорщині, Франції, Греції для кращої операційної гнучкості.</w:t>
            </w:r>
          </w:p>
        </w:tc>
        <w:tc>
          <w:tcPr>
            <w:tcW w:type="dxa" w:w="15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A"/>
                <w:sz w:val="16"/>
                <w:szCs w:val="16"/>
              </w:rPr>
              <w:t xml:space="preserve">Операційний менеджер</w:t>
            </w:r>
          </w:p>
        </w:tc>
      </w:tr>
      <w:tr>
        <w:tc>
          <w:tcPr>
            <w:tcW w:type="dxa" w:w="1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🟢 МОЖЛИВІСТЬ</w:t>
            </w:r>
          </w:p>
        </w:tc>
        <w:tc>
          <w:tcPr>
            <w:tcW w:type="dxa" w:w="16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Сезонний провал лютого</w:t>
            </w:r>
          </w:p>
        </w:tc>
        <w:tc>
          <w:tcPr>
            <w:tcW w:type="dxa" w:w="48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Лише 9 виїздів у лютому — найнижча точка. Розробити спеціальні пропозиції: Валентинів день, зимовий відпочинок.</w:t>
            </w:r>
          </w:p>
        </w:tc>
        <w:tc>
          <w:tcPr>
            <w:tcW w:type="dxa" w:w="15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A"/>
                <w:sz w:val="16"/>
                <w:szCs w:val="16"/>
              </w:rPr>
              <w:t xml:space="preserve">Маркетинг</w:t>
            </w:r>
          </w:p>
        </w:tc>
      </w:tr>
      <w:tr>
        <w:tc>
          <w:tcPr>
            <w:tcW w:type="dxa" w:w="1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🟢 МОЖЛИВІСТЬ</w:t>
            </w:r>
          </w:p>
        </w:tc>
        <w:tc>
          <w:tcPr>
            <w:tcW w:type="dxa" w:w="16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Іспанія — преміум ніша</w:t>
            </w:r>
          </w:p>
        </w:tc>
        <w:tc>
          <w:tcPr>
            <w:tcW w:type="dxa" w:w="48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36.6% маржа, лише 19 виїздів. Потенціал для 35-40 виїздів на рік у преміальному сегменті (577€ средн. чек).</w:t>
            </w:r>
          </w:p>
        </w:tc>
        <w:tc>
          <w:tcPr>
            <w:tcW w:type="dxa" w:w="15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A"/>
                <w:sz w:val="16"/>
                <w:szCs w:val="16"/>
              </w:rPr>
              <w:t xml:space="preserve">Менеджер з продажу</w:t>
            </w:r>
          </w:p>
        </w:tc>
      </w:tr>
      <w:tr>
        <w:tc>
          <w:tcPr>
            <w:tcW w:type="dxa" w:w="1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0B9"/>
                <w:sz w:val="17"/>
                <w:szCs w:val="17"/>
              </w:rPr>
              <w:t xml:space="preserve">📊 BI</w:t>
            </w:r>
          </w:p>
        </w:tc>
        <w:tc>
          <w:tcPr>
            <w:tcW w:type="dxa" w:w="16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Dashboard.tsx — 8 KPI</w:t>
            </w:r>
          </w:p>
        </w:tc>
        <w:tc>
          <w:tcPr>
            <w:tcW w:type="dxa" w:w="48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Реалізувати всі 8 KPI з Розділу 6. Пріоритет: Fill Rate + Lead Conversion + Avg Check + Revenue by Channel.</w:t>
            </w:r>
          </w:p>
        </w:tc>
        <w:tc>
          <w:tcPr>
            <w:tcW w:type="dxa" w:w="15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A"/>
                <w:sz w:val="16"/>
                <w:szCs w:val="16"/>
              </w:rPr>
              <w:t xml:space="preserve">Frontend розробник</w:t>
            </w:r>
          </w:p>
        </w:tc>
      </w:tr>
      <w:tr>
        <w:tc>
          <w:tcPr>
            <w:tcW w:type="dxa" w:w="12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0B9"/>
                <w:sz w:val="17"/>
                <w:szCs w:val="17"/>
              </w:rPr>
              <w:t xml:space="preserve">📊 BI</w:t>
            </w:r>
          </w:p>
        </w:tc>
        <w:tc>
          <w:tcPr>
            <w:tcW w:type="dxa" w:w="16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BR-04 в дашборді</w:t>
            </w:r>
          </w:p>
        </w:tc>
        <w:tc>
          <w:tcPr>
            <w:tcW w:type="dxa" w:w="48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costPrice/margin видно лише admin/director. Агенти та менеджери бачать лише свій Avg Check та Commission Rate.</w:t>
            </w:r>
          </w:p>
        </w:tc>
        <w:tc>
          <w:tcPr>
            <w:tcW w:type="dxa" w:w="1500"/>
            <w:tcBorders>
              <w:top w:val="single" w:color="C9D8EE" w:sz="1"/>
              <w:left w:val="single" w:color="C9D8EE" w:sz="1"/>
              <w:bottom w:val="single" w:color="C9D8EE" w:sz="1"/>
              <w:right w:val="single" w:color="C9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A7A"/>
                <w:sz w:val="16"/>
                <w:szCs w:val="16"/>
              </w:rPr>
              <w:t xml:space="preserve">Backend + Frontend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Цей звіт є аналітичною основою для технічного проектування модуля Аналітика (4.9) та специфікацією KPI для Frontend Dashboard.tsx. Дані базуються на реальному ET Tour Calendar 2026.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5A6A7A"/>
          <w:sz w:val="20"/>
          <w:szCs w:val="20"/>
        </w:rPr>
        <w:t xml:space="preserve">Наступні кроки: 1) Підключити модуль Фінанси для реального P&amp;L по турах. 2) Реалізувати 8 KPI-метрик у Dashboard.tsx. 3) Налаштувати автооновлення дашборду при зміні статусів бронювань.</w:t>
      </w:r>
    </w:p>
    <w:sectPr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D70B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2026-06-22T07:39:57.593Z</dcterms:created>
  <dcterms:modified xsi:type="dcterms:W3CDTF">2026-06-22T07:39:57.593Z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