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Montserrat" w:hAnsi="Montserrat" w:cs="Montserrat" w:eastAsia="Montserrat"/>
          <w:b/>
          <w:color w:val="1A1A2E"/>
          <w:spacing w:val="0"/>
          <w:position w:val="0"/>
          <w:sz w:val="72"/>
          <w:shd w:fill="auto" w:val="clear"/>
        </w:rPr>
        <w:t xml:space="preserve">EUROTRIPS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34"/>
          <w:shd w:fill="auto" w:val="clear"/>
        </w:rPr>
        <w:t xml:space="preserve">Система бронювання турів</w:t>
      </w:r>
    </w:p>
    <w:p>
      <w:pPr>
        <w:spacing w:before="80" w:after="3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C3A50"/>
          <w:spacing w:val="0"/>
          <w:position w:val="0"/>
          <w:sz w:val="26"/>
          <w:shd w:fill="auto" w:val="clear"/>
        </w:rPr>
        <w:t xml:space="preserve">Огляд для замовника </w:t>
      </w:r>
      <w:r>
        <w:rPr>
          <w:rFonts w:ascii="Calibri" w:hAnsi="Calibri" w:cs="Calibri" w:eastAsia="Calibri"/>
          <w:b/>
          <w:color w:val="2C3A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A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A50"/>
          <w:spacing w:val="0"/>
          <w:position w:val="0"/>
          <w:sz w:val="26"/>
          <w:shd w:fill="auto" w:val="clear"/>
        </w:rPr>
        <w:t xml:space="preserve">Червень 2026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92A4"/>
          <w:spacing w:val="0"/>
          <w:position w:val="0"/>
          <w:sz w:val="24"/>
          <w:shd w:fill="auto" w:val="clear"/>
        </w:rPr>
        <w:t xml:space="preserve">Загальна готовність MVP: </w:t>
      </w:r>
      <w:r>
        <w:rPr>
          <w:rFonts w:ascii="Arial" w:hAnsi="Arial" w:cs="Arial" w:eastAsia="Arial"/>
          <w:b/>
          <w:color w:val="53C7D6"/>
          <w:spacing w:val="0"/>
          <w:position w:val="0"/>
          <w:sz w:val="36"/>
          <w:shd w:fill="auto" w:val="clear"/>
        </w:rPr>
        <w:t xml:space="preserve">73%</w:t>
      </w:r>
    </w:p>
    <w:p>
      <w:pPr>
        <w:spacing w:before="3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ontserrat" w:hAnsi="Montserrat" w:cs="Montserrat" w:eastAsia="Montserrat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0"/>
                <w:shd w:fill="auto" w:val="clear"/>
              </w:rPr>
              <w:t xml:space="preserve">Заплановані модулі</w:t>
            </w:r>
          </w:p>
        </w:tc>
        <w:tc>
          <w:tcPr>
            <w:tcW w:w="312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ontserrat" w:hAnsi="Montserrat" w:cs="Montserrat" w:eastAsia="Montserrat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0"/>
                <w:shd w:fill="auto" w:val="clear"/>
              </w:rPr>
              <w:t xml:space="preserve">Ролей у системі</w:t>
            </w:r>
          </w:p>
        </w:tc>
        <w:tc>
          <w:tcPr>
            <w:tcW w:w="312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ontserrat" w:hAnsi="Montserrat" w:cs="Montserrat" w:eastAsia="Montserrat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~4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тижнів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0"/>
                <w:shd w:fill="auto" w:val="clear"/>
              </w:rPr>
              <w:t xml:space="preserve">До production</w:t>
            </w:r>
          </w:p>
        </w:tc>
      </w:tr>
    </w:tbl>
    <w:p>
      <w:pPr>
        <w:spacing w:before="1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1"/>
          <w:shd w:fill="auto" w:val="clear"/>
        </w:rPr>
        <w:t xml:space="preserve">Зміст: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Сторінка 1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 20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модулів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·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Сторінка 2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3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Архітектурна схема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·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Сторінка 4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Прогрес реалізації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1. 20 запланованих модулів системи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Система бронювання Eurotrips складається з 20 модулів, які покривають повний цикл: від першого звернення клієнта до завершення туру та виплати комісії агенту.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60"/>
        <w:gridCol w:w="2800"/>
        <w:gridCol w:w="2200"/>
        <w:gridCol w:w="4000"/>
      </w:tblGrid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#</w:t>
            </w:r>
          </w:p>
        </w:tc>
        <w:tc>
          <w:tcPr>
            <w:tcW w:w="28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Модуль</w:t>
            </w:r>
          </w:p>
        </w:tc>
        <w:tc>
          <w:tcPr>
            <w:tcW w:w="22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Ключові теги</w:t>
            </w:r>
          </w:p>
        </w:tc>
        <w:tc>
          <w:tcPr>
            <w:tcW w:w="40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Що охоплює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Ядро системи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Реліз 1 (критичні)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01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Авторизація та RBAC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JWT · 7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ролей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audit log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JWT, refresh token, 7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ролей, захист ендпоінтів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02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Каталог турів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CRUD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квоти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BR-04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Управління квотами, статусами, фільтрація, публікація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03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CRM / </w:t>
            </w: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Ліди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каналів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конвертація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Воронка продажів, 7 статусів ліда, Zoho sync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04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Бронювання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15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статусів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BR-06 FSM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Центральний модуль: від заявки до завершення туру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Операційний блок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Реліз 1 (важливі)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05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Фінанси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P&amp;L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комісії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LiqPay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Оплати, борги, повернення, P&amp;L по туру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06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Кабінет агента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B2B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роялті BR-07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Окремий інтерфейс: тури, бронювання, комісія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07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Операційний блок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Чекліст виїзду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9-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пунктовий чекліст, списки туристів, румінг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08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Проживання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563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готелі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OPS-01/02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База готелів, румінг DRAFT</w:t>
            </w:r>
            <w:r>
              <w:rPr>
                <w:rFonts w:ascii="Cambria Math" w:hAnsi="Cambria Math" w:cs="Cambria Math" w:eastAsia="Cambria Math"/>
                <w:color w:val="2C3A5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FINAL,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дедлайни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09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Транспорт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Розсадка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кілометраж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Перевізники, схема розсадки, паливний збір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Страхування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VUSO · AXA · BR-09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Поліси для туристів, обов'язкове перед виїздом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11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Документи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PDF auto · 7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типів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Договори, ваучери, підтвердження, рахунки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Комунікації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Brevo · TurboSMS · BullMQ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8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тригерних сповіщень: email, SMS, Telegram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Інтеграції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9C01D"/>
                <w:spacing w:val="0"/>
                <w:position w:val="0"/>
                <w:sz w:val="18"/>
                <w:shd w:fill="auto" w:val="clear"/>
              </w:rPr>
              <w:t xml:space="preserve">13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Zoho CRM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22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модулі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webhook · OAuth2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Двостороння синхронізація з поточною CRM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9C01D"/>
                <w:spacing w:val="0"/>
                <w:position w:val="0"/>
                <w:sz w:val="18"/>
                <w:shd w:fill="auto" w:val="clear"/>
              </w:rPr>
              <w:t xml:space="preserve">14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Платежі (LiqPay)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SHA1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ідемпотентність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Онлайн-оплати, автооновлення статусу бронювання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9C01D"/>
                <w:spacing w:val="0"/>
                <w:position w:val="0"/>
                <w:sz w:val="18"/>
                <w:shd w:fill="auto" w:val="clear"/>
              </w:rPr>
              <w:t xml:space="preserve">15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Управління агентами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Agency · AgentNetwork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Реєстрація, онбординг, рейтинги, мережеві агенти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f0366d" w:sz="1"/>
              <w:left w:val="single" w:color="f0366d" w:sz="1"/>
              <w:bottom w:val="single" w:color="f0366d" w:sz="1"/>
              <w:right w:val="single" w:color="f0366d" w:sz="1"/>
            </w:tcBorders>
            <w:shd w:color="000000" w:fill="f0366d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Реліз 2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3 (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розвиток системи)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16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Аналітика / BI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11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дашбордів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KPI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Продажі, конверсія, завантаженість, прибутковість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17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Кабінет туриста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Self-service · OPS-03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Бронювання, оплати, документи, місце в автобусі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18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Активності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4341+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записів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гіди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Екскурсії та активності по містах туру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19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Мобільний додаток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iOS · Android · PWA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Push-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сповіщення, offline, оплата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20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Групові запити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Corporate · group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Бриф, індивідуальна пропозиція, звітність</w:t>
            </w:r>
          </w:p>
        </w:tc>
      </w:tr>
    </w:tbl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2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E8F0FB" w:val="clear"/>
        </w:rPr>
      </w:pP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Реліз 1 (MVP) включає модулі 01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–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15.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Реліз 2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—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аналітику, кабінет туриста, групові запити. Реліз 3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—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мобільний додаток і advanced автоматизацію.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2. Архітектурна схема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план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Нижче показано повну архітектуру системи: від сайту eurotrips.ua через авторизацію до всіх модулів та інтеграцій.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4a5a72" w:sz="1"/>
              <w:left w:val="single" w:color="4a5a72" w:sz="1"/>
              <w:bottom w:val="single" w:color="4a5a72" w:sz="1"/>
              <w:right w:val="single" w:color="4a5a72" w:sz="1"/>
            </w:tcBorders>
            <w:shd w:color="000000" w:fill="4a5a72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eurotrips.ua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01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Авторизація та RBAC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JWT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ролей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audit log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02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Каталог турів</w:t>
            </w:r>
          </w:p>
        </w:tc>
        <w:tc>
          <w:tcPr>
            <w:tcW w:w="312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03 · CRM /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Ліди</w:t>
            </w:r>
          </w:p>
        </w:tc>
        <w:tc>
          <w:tcPr>
            <w:tcW w:w="312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06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Агенти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color="000000" w:fill="c0392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04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БРОНЮВАННЯ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центральний модуль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15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статусів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BR-01/06/08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60"/>
        <w:gridCol w:w="1560"/>
        <w:gridCol w:w="1560"/>
        <w:gridCol w:w="1560"/>
        <w:gridCol w:w="212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05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Фінанси</w:t>
            </w:r>
          </w:p>
        </w:tc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07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Операції</w:t>
            </w:r>
          </w:p>
        </w:tc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08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09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Готелі / Транспорт</w:t>
            </w:r>
          </w:p>
        </w:tc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11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Документи</w:t>
            </w:r>
          </w:p>
        </w:tc>
        <w:tc>
          <w:tcPr>
            <w:tcW w:w="212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10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Страхування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· BR-09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3a1078" w:sz="1"/>
              <w:left w:val="single" w:color="3a1078" w:sz="1"/>
              <w:bottom w:val="single" w:color="3a1078" w:sz="1"/>
              <w:right w:val="single" w:color="3a1078" w:sz="1"/>
            </w:tcBorders>
            <w:shd w:color="000000" w:fill="3a107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12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Комунікації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email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SMS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Telegram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BullMQ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13 · Zoho CRM · webhook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14 · LiqPay · WayForPay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15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Управління агентами</w:t>
            </w:r>
          </w:p>
        </w:tc>
        <w:tc>
          <w:tcPr>
            <w:tcW w:w="2340" w:type="dxa"/>
            <w:tcBorders>
              <w:top w:val="single" w:color="a04010" w:sz="1"/>
              <w:left w:val="single" w:color="a04010" w:sz="1"/>
              <w:bottom w:val="single" w:color="a04010" w:sz="1"/>
              <w:right w:val="single" w:color="a04010" w:sz="1"/>
            </w:tcBorders>
            <w:shd w:color="000000" w:fill="a0401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16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20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Реліз 2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3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422" w:dyaOrig="12148">
          <v:rect xmlns:o="urn:schemas-microsoft-com:office:office" xmlns:v="urn:schemas-microsoft-com:vml" id="rectole0000000000" style="width:421.100000pt;height:607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3. Реалізована архітектура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стан червень 2026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Поточний стан системи по компонентах. Зелений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завершено, жовтий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в процесі, синій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розпочато.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Montserrat" w:hAnsi="Montserrat" w:cs="Montserrat" w:eastAsia="Montserrat"/>
          <w:b/>
          <w:color w:val="1A1A2E"/>
          <w:spacing w:val="0"/>
          <w:position w:val="0"/>
          <w:sz w:val="28"/>
          <w:shd w:fill="auto" w:val="clear"/>
        </w:rPr>
        <w:t xml:space="preserve">Backend (Node.js 20 / Fastify 4 / Prisma 5 / PostgreSQL 16)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Auth API · 95%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Tours API · 90%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Bookings API · 85%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Leads API · 80%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Agents API · 75%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Finance API · 70%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Prisma 20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моделей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· 88%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Redis + BullMQ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</w:tr>
    </w:tbl>
    <w:p>
      <w:pPr>
        <w:spacing w:before="1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Montserrat" w:hAnsi="Montserrat" w:cs="Montserrat" w:eastAsia="Montserrat"/>
          <w:b/>
          <w:color w:val="1A1A2E"/>
          <w:spacing w:val="0"/>
          <w:position w:val="0"/>
          <w:sz w:val="28"/>
          <w:shd w:fill="auto" w:val="clear"/>
        </w:rPr>
        <w:t xml:space="preserve">Frontend (React 18 / Vite / TanStack Query / TypeScript)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Login · 95%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AgentCabinet · 80%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Tours.tsx · 75%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Bookings.tsx · 70%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Dashboard · 65%</w:t>
            </w:r>
          </w:p>
        </w:tc>
        <w:tc>
          <w:tcPr>
            <w:tcW w:w="234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BookingDetail · 20%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🚧</w:t>
            </w:r>
          </w:p>
        </w:tc>
        <w:tc>
          <w:tcPr>
            <w:tcW w:w="234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Brand tokens · 40%</w:t>
            </w:r>
          </w:p>
        </w:tc>
        <w:tc>
          <w:tcPr>
            <w:tcW w:w="234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LeadsList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⬜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план</w:t>
            </w:r>
          </w:p>
        </w:tc>
      </w:tr>
    </w:tbl>
    <w:p>
      <w:pPr>
        <w:spacing w:before="1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Інтеграції / DevOps / QA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LiqPay · 90%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Brevo email · 80%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Zoho CRM · 65%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Zoho webhook · 75%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Docker dev+prod · 95%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CI/CD GitHub · 90%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85 Playwright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тестів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· 75%</w:t>
            </w:r>
          </w:p>
        </w:tc>
        <w:tc>
          <w:tcPr>
            <w:tcW w:w="234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Production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🚨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 · 10%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4. Прогрес реалізації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деталі по компонентах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Деталізований стан всіх компонентів станом на червень 2026. Загальна готовність MVP: </w:t>
      </w:r>
      <w:r>
        <w:rPr>
          <w:rFonts w:ascii="Arial" w:hAnsi="Arial" w:cs="Arial" w:eastAsia="Arial"/>
          <w:b/>
          <w:color w:val="53C7D6"/>
          <w:spacing w:val="0"/>
          <w:position w:val="0"/>
          <w:sz w:val="26"/>
          <w:shd w:fill="auto" w:val="clear"/>
        </w:rPr>
        <w:t xml:space="preserve">73%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. Критичний блокер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production deploy.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200"/>
        <w:gridCol w:w="1000"/>
        <w:gridCol w:w="3160"/>
      </w:tblGrid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Компонент / Модуль</w:t>
            </w:r>
          </w:p>
        </w:tc>
        <w:tc>
          <w:tcPr>
            <w:tcW w:w="10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Готовність</w:t>
            </w:r>
          </w:p>
        </w:tc>
        <w:tc>
          <w:tcPr>
            <w:tcW w:w="316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Статус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Авторизація (Auth 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Каталог турів (API)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Бронювання (API)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CRM /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Ліди (API)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Кабінет агента (Frontend)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Login / Auth UI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База даних (Prisma, 20 моделей)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88%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Docker + CI/CD + Nginx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92%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LiqPay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інтеграція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Email / Brevo (5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шаблонів)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Agents API (profile, royalty)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Finance API (P&amp;L, debts)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Tours.tsx (Frontend)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Bookings.tsx / Dashboard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65%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Zoho webhook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Zoho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міграція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65%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E2E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тести (85 Playwright)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BookingDetail UI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85FA5"/>
                <w:spacing w:val="0"/>
                <w:position w:val="0"/>
                <w:sz w:val="20"/>
                <w:shd w:fill="auto" w:val="clear"/>
              </w:rPr>
              <w:t xml:space="preserve">20%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185FA5"/>
                <w:spacing w:val="0"/>
                <w:position w:val="0"/>
                <w:sz w:val="19"/>
                <w:shd w:fill="auto" w:val="clear"/>
              </w:rPr>
              <w:t xml:space="preserve">🚧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SMS TurboSMS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85FA5"/>
                <w:spacing w:val="0"/>
                <w:position w:val="0"/>
                <w:sz w:val="20"/>
                <w:shd w:fill="auto" w:val="clear"/>
              </w:rPr>
              <w:t xml:space="preserve">30%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185FA5"/>
                <w:spacing w:val="0"/>
                <w:position w:val="0"/>
                <w:sz w:val="19"/>
                <w:shd w:fill="auto" w:val="clear"/>
              </w:rPr>
              <w:t xml:space="preserve">🚧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Розпочато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Telegram Bot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185FA5"/>
                <w:spacing w:val="0"/>
                <w:position w:val="0"/>
                <w:sz w:val="20"/>
                <w:shd w:fill="auto" w:val="clear"/>
              </w:rPr>
              <w:t xml:space="preserve">25%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185FA5"/>
                <w:spacing w:val="0"/>
                <w:position w:val="0"/>
                <w:sz w:val="19"/>
                <w:shd w:fill="auto" w:val="clear"/>
              </w:rPr>
              <w:t xml:space="preserve">🚧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Розпочато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dece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Production (Hetzner CX32)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dece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B71C1C"/>
                <w:spacing w:val="0"/>
                <w:position w:val="0"/>
                <w:sz w:val="20"/>
                <w:shd w:fill="auto" w:val="clear"/>
              </w:rPr>
              <w:t xml:space="preserve">10%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dece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B71C1C"/>
                <w:spacing w:val="0"/>
                <w:position w:val="0"/>
                <w:sz w:val="19"/>
                <w:shd w:fill="auto" w:val="clear"/>
              </w:rPr>
              <w:t xml:space="preserve">❌</w:t>
            </w:r>
            <w:r>
              <w:rPr>
                <w:rFonts w:ascii="Arial" w:hAnsi="Arial" w:cs="Arial" w:eastAsia="Arial"/>
                <w:b/>
                <w:color w:val="B71C1C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B71C1C"/>
                <w:spacing w:val="0"/>
                <w:position w:val="0"/>
                <w:sz w:val="19"/>
                <w:shd w:fill="auto" w:val="clear"/>
              </w:rPr>
              <w:t xml:space="preserve">Критичний блокер</w:t>
            </w:r>
          </w:p>
        </w:tc>
      </w:tr>
    </w:tbl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2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DECEA" w:val="clear"/>
        </w:rPr>
      </w:pPr>
      <w:r>
        <w:rPr>
          <w:rFonts w:ascii="Segoe UI Symbol" w:hAnsi="Segoe UI Symbol" w:cs="Segoe UI Symbol" w:eastAsia="Segoe UI Symbol"/>
          <w:b/>
          <w:color w:val="B71C1C"/>
          <w:spacing w:val="0"/>
          <w:position w:val="0"/>
          <w:sz w:val="21"/>
          <w:shd w:fill="FDECEA" w:val="clear"/>
        </w:rPr>
        <w:t xml:space="preserve">🚨</w:t>
      </w:r>
      <w:r>
        <w:rPr>
          <w:rFonts w:ascii="Arial" w:hAnsi="Arial" w:cs="Arial" w:eastAsia="Arial"/>
          <w:b/>
          <w:color w:val="B71C1C"/>
          <w:spacing w:val="0"/>
          <w:position w:val="0"/>
          <w:sz w:val="21"/>
          <w:shd w:fill="FDECEA" w:val="clear"/>
        </w:rPr>
        <w:t xml:space="preserve"> </w:t>
      </w:r>
      <w:r>
        <w:rPr>
          <w:rFonts w:ascii="Arial" w:hAnsi="Arial" w:cs="Arial" w:eastAsia="Arial"/>
          <w:b/>
          <w:color w:val="B71C1C"/>
          <w:spacing w:val="0"/>
          <w:position w:val="0"/>
          <w:sz w:val="21"/>
          <w:shd w:fill="FDECEA" w:val="clear"/>
        </w:rPr>
        <w:t xml:space="preserve">Критичний блокер: 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Production deploy на Hetzner CX32 не виконано (10%). Інструкція: DEPLOY_NOW.md. Скрипти: first-deploy.sh </w:t>
      </w:r>
      <w:r>
        <w:rPr>
          <w:rFonts w:ascii="Cambria Math" w:hAnsi="Cambria Math" w:cs="Cambria Math" w:eastAsia="Cambria Math"/>
          <w:color w:val="8B0000"/>
          <w:spacing w:val="0"/>
          <w:position w:val="0"/>
          <w:sz w:val="20"/>
          <w:shd w:fill="FDECEA" w:val="clear"/>
        </w:rPr>
        <w:t xml:space="preserve">→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 verify-prod.sh. 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Очікуваний час до повного deployment: 1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–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2 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дні після запуску скриптів.</w:t>
      </w:r>
    </w:p>
    <w:p>
      <w:pPr>
        <w:spacing w:before="12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8892A4"/>
          <w:spacing w:val="0"/>
          <w:position w:val="0"/>
          <w:sz w:val="17"/>
          <w:shd w:fill="auto" w:val="clear"/>
        </w:rPr>
        <w:t xml:space="preserve">Документ підготовлено: Tech Writer / Documentation Lead  </w:t>
      </w:r>
      <w:r>
        <w:rPr>
          <w:rFonts w:ascii="Arial" w:hAnsi="Arial" w:cs="Arial" w:eastAsia="Arial"/>
          <w:i/>
          <w:color w:val="8892A4"/>
          <w:spacing w:val="0"/>
          <w:position w:val="0"/>
          <w:sz w:val="17"/>
          <w:shd w:fill="auto" w:val="clear"/>
        </w:rPr>
        <w:t xml:space="preserve">·  Eurotrips Booking System  ·  v1.0  ·  </w:t>
      </w:r>
      <w:r>
        <w:rPr>
          <w:rFonts w:ascii="Arial" w:hAnsi="Arial" w:cs="Arial" w:eastAsia="Arial"/>
          <w:i/>
          <w:color w:val="8892A4"/>
          <w:spacing w:val="0"/>
          <w:position w:val="0"/>
          <w:sz w:val="17"/>
          <w:shd w:fill="auto" w:val="clear"/>
        </w:rPr>
        <w:t xml:space="preserve">Червень 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