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jc w:val="center"/>
      </w:pPr>
      <w:r>
        <w:rPr>
          <w:rFonts w:ascii="Arial" w:cs="Arial" w:eastAsia="Arial" w:hAnsi="Arial"/>
          <w:b/>
          <w:bCs/>
          <w:color w:val="1F2937"/>
          <w:sz w:val="64"/>
          <w:szCs w:val="64"/>
        </w:rPr>
        <w:t xml:space="preserve">🧬 NervoSensus</w:t>
      </w:r>
    </w:p>
    <w:p>
      <w:pPr>
        <w:spacing w:after="0" w:before="160"/>
      </w:pPr>
      <w:r>
        <w:t xml:space="preserve"/>
      </w:r>
    </w:p>
    <w:p>
      <w:pPr>
        <w:jc w:val="center"/>
      </w:pPr>
      <w:r>
        <w:rPr>
          <w:rFonts w:ascii="Arial" w:cs="Arial" w:eastAsia="Arial" w:hAnsi="Arial"/>
          <w:color w:val="6B7280"/>
          <w:sz w:val="28"/>
          <w:szCs w:val="28"/>
        </w:rPr>
        <w:t xml:space="preserve">Interactive Sensory Neuron Cell Type Explorer</w:t>
      </w:r>
    </w:p>
    <w:p>
      <w:pPr>
        <w:spacing w:after="0" w:before="80"/>
      </w:pPr>
      <w:r>
        <w:t xml:space="preserve"/>
      </w:r>
    </w:p>
    <w:p>
      <w:pPr>
        <w:jc w:val="center"/>
      </w:pPr>
      <w:r>
        <w:rPr>
          <w:rFonts w:ascii="Arial" w:cs="Arial" w:eastAsia="Arial" w:hAnsi="Arial"/>
          <w:i/>
          <w:iCs/>
          <w:color w:val="9CA3AF"/>
          <w:sz w:val="22"/>
          <w:szCs w:val="22"/>
        </w:rPr>
        <w:t xml:space="preserve">User Documentation — First Draft</w:t>
      </w:r>
    </w:p>
    <w:p>
      <w:pPr>
        <w:spacing w:after="0" w:before="7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EEF2FF" w:val="clear"/>
            <w:tcMar>
              <w:top w:type="dxa" w:w="200"/>
              <w:left w:type="dxa" w:w="240"/>
              <w:bottom w:type="dxa" w:w="200"/>
              <w:right w:type="dxa" w:w="240"/>
            </w:tcMar>
          </w:tcPr>
          <w:p>
            <w:pPr>
              <w:jc w:val="center"/>
            </w:pPr>
            <w:r>
              <w:rPr>
                <w:rFonts w:ascii="Arial" w:cs="Arial" w:eastAsia="Arial" w:hAnsi="Arial"/>
                <w:color w:val="4F46E5"/>
                <w:sz w:val="20"/>
                <w:szCs w:val="20"/>
              </w:rPr>
              <w:t xml:space="preserve">145 cell types  •  7 publications  •  4 species  •  5 views</w:t>
            </w:r>
          </w:p>
        </w:tc>
      </w:tr>
    </w:tbl>
    <w:p>
      <w:pPr>
        <w:spacing w:after="0" w:before="400"/>
      </w:pPr>
      <w:r>
        <w:t xml:space="preserve"/>
      </w:r>
    </w:p>
    <w:p>
      <w:pPr>
        <w:jc w:val="center"/>
      </w:pPr>
      <w:r>
        <w:rPr>
          <w:rFonts w:ascii="Arial" w:cs="Arial" w:eastAsia="Arial" w:hAnsi="Arial"/>
          <w:i/>
          <w:iCs/>
          <w:color w:val="6B7280"/>
          <w:sz w:val="20"/>
          <w:szCs w:val="20"/>
        </w:rPr>
        <w:t xml:space="preserve">No installation required — open index.html in any modern browser</w:t>
      </w:r>
    </w:p>
    <w:p>
      <w:r>
        <w:br w:type="page"/>
      </w:r>
    </w:p>
    <w:p>
      <w:pPr>
        <w:pStyle w:val="Heading1"/>
      </w:pPr>
      <w:r>
        <w:rPr>
          <w:rFonts w:ascii="Arial" w:cs="Arial" w:eastAsia="Arial" w:hAnsi="Arial"/>
          <w:b/>
          <w:bCs/>
          <w:color w:val="1F2937"/>
          <w:sz w:val="32"/>
          <w:szCs w:val="32"/>
        </w:rPr>
        <w:t xml:space="preserve">Contents</w:t>
      </w:r>
    </w:p>
    <w:p>
      <w:pPr>
        <w:spacing w:after="0" w:before="80"/>
      </w:pPr>
      <w:r>
        <w:t xml:space="preserve"/>
      </w:r>
    </w:p>
    <w:p>
      <w:pPr>
        <w:spacing w:after="60" w:before="60"/>
      </w:pPr>
      <w:r>
        <w:rPr>
          <w:rFonts w:ascii="Arial" w:cs="Arial" w:eastAsia="Arial" w:hAnsi="Arial"/>
          <w:color w:val="1F2937"/>
          <w:sz w:val="22"/>
          <w:szCs w:val="22"/>
        </w:rPr>
        <w:t xml:space="preserve">1. Overview</w:t>
      </w:r>
    </w:p>
    <w:p>
      <w:pPr>
        <w:spacing w:after="60" w:before="60"/>
      </w:pPr>
      <w:r>
        <w:rPr>
          <w:rFonts w:ascii="Arial" w:cs="Arial" w:eastAsia="Arial" w:hAnsi="Arial"/>
          <w:color w:val="1F2937"/>
          <w:sz w:val="22"/>
          <w:szCs w:val="22"/>
        </w:rPr>
        <w:t xml:space="preserve">2. Getting Started</w:t>
      </w:r>
    </w:p>
    <w:p>
      <w:pPr>
        <w:spacing w:after="60" w:before="60"/>
      </w:pPr>
      <w:r>
        <w:rPr>
          <w:rFonts w:ascii="Arial" w:cs="Arial" w:eastAsia="Arial" w:hAnsi="Arial"/>
          <w:color w:val="1F2937"/>
          <w:sz w:val="22"/>
          <w:szCs w:val="22"/>
        </w:rPr>
        <w:t xml:space="preserve">3. The Interface</w:t>
      </w:r>
    </w:p>
    <w:p>
      <w:pPr>
        <w:spacing w:after="60" w:before="60"/>
      </w:pPr>
      <w:r>
        <w:rPr>
          <w:rFonts w:ascii="Arial" w:cs="Arial" w:eastAsia="Arial" w:hAnsi="Arial"/>
          <w:color w:val="1F2937"/>
          <w:sz w:val="22"/>
          <w:szCs w:val="22"/>
        </w:rPr>
        <w:t xml:space="preserve">4. Views</w:t>
      </w:r>
    </w:p>
    <w:p>
      <w:pPr>
        <w:spacing w:after="60" w:before="60"/>
      </w:pPr>
      <w:r>
        <w:rPr>
          <w:rFonts w:ascii="Arial" w:cs="Arial" w:eastAsia="Arial" w:hAnsi="Arial"/>
          <w:color w:val="6B7280"/>
          <w:sz w:val="22"/>
          <w:szCs w:val="22"/>
        </w:rPr>
        <w:t xml:space="preserve">   4.1  Card View</w:t>
      </w:r>
    </w:p>
    <w:p>
      <w:pPr>
        <w:spacing w:after="60" w:before="60"/>
      </w:pPr>
      <w:r>
        <w:rPr>
          <w:rFonts w:ascii="Arial" w:cs="Arial" w:eastAsia="Arial" w:hAnsi="Arial"/>
          <w:color w:val="6B7280"/>
          <w:sz w:val="22"/>
          <w:szCs w:val="22"/>
        </w:rPr>
        <w:t xml:space="preserve">   4.2  Tree View</w:t>
      </w:r>
    </w:p>
    <w:p>
      <w:pPr>
        <w:spacing w:after="60" w:before="60"/>
      </w:pPr>
      <w:r>
        <w:rPr>
          <w:rFonts w:ascii="Arial" w:cs="Arial" w:eastAsia="Arial" w:hAnsi="Arial"/>
          <w:color w:val="6B7280"/>
          <w:sz w:val="22"/>
          <w:szCs w:val="22"/>
        </w:rPr>
        <w:t xml:space="preserve">   4.3  Synthesis View</w:t>
      </w:r>
    </w:p>
    <w:p>
      <w:pPr>
        <w:spacing w:after="60" w:before="60"/>
      </w:pPr>
      <w:r>
        <w:rPr>
          <w:rFonts w:ascii="Arial" w:cs="Arial" w:eastAsia="Arial" w:hAnsi="Arial"/>
          <w:color w:val="6B7280"/>
          <w:sz w:val="22"/>
          <w:szCs w:val="22"/>
        </w:rPr>
        <w:t xml:space="preserve">   4.4  Cluster View</w:t>
      </w:r>
    </w:p>
    <w:p>
      <w:pPr>
        <w:spacing w:after="60" w:before="60"/>
      </w:pPr>
      <w:r>
        <w:rPr>
          <w:rFonts w:ascii="Arial" w:cs="Arial" w:eastAsia="Arial" w:hAnsi="Arial"/>
          <w:color w:val="6B7280"/>
          <w:sz w:val="22"/>
          <w:szCs w:val="22"/>
        </w:rPr>
        <w:t xml:space="preserve">   4.5  Lineage View</w:t>
      </w:r>
    </w:p>
    <w:p>
      <w:pPr>
        <w:spacing w:after="60" w:before="60"/>
      </w:pPr>
      <w:r>
        <w:rPr>
          <w:rFonts w:ascii="Arial" w:cs="Arial" w:eastAsia="Arial" w:hAnsi="Arial"/>
          <w:color w:val="6B7280"/>
          <w:sz w:val="22"/>
          <w:szCs w:val="22"/>
        </w:rPr>
        <w:t xml:space="preserve">   4.6  Compare View</w:t>
      </w:r>
    </w:p>
    <w:p>
      <w:pPr>
        <w:spacing w:after="60" w:before="60"/>
      </w:pPr>
      <w:r>
        <w:rPr>
          <w:rFonts w:ascii="Arial" w:cs="Arial" w:eastAsia="Arial" w:hAnsi="Arial"/>
          <w:color w:val="1F2937"/>
          <w:sz w:val="22"/>
          <w:szCs w:val="22"/>
        </w:rPr>
        <w:t xml:space="preserve">5. Data Sources</w:t>
      </w:r>
    </w:p>
    <w:p>
      <w:pPr>
        <w:spacing w:after="60" w:before="60"/>
      </w:pPr>
      <w:r>
        <w:rPr>
          <w:rFonts w:ascii="Arial" w:cs="Arial" w:eastAsia="Arial" w:hAnsi="Arial"/>
          <w:color w:val="1F2937"/>
          <w:sz w:val="22"/>
          <w:szCs w:val="22"/>
        </w:rPr>
        <w:t xml:space="preserve">6. Loading Your Own Data</w:t>
      </w:r>
    </w:p>
    <w:p>
      <w:pPr>
        <w:spacing w:after="60" w:before="60"/>
      </w:pPr>
      <w:r>
        <w:rPr>
          <w:rFonts w:ascii="Arial" w:cs="Arial" w:eastAsia="Arial" w:hAnsi="Arial"/>
          <w:color w:val="1F2937"/>
          <w:sz w:val="22"/>
          <w:szCs w:val="22"/>
        </w:rPr>
        <w:t xml:space="preserve">7. Understanding Relationships</w:t>
      </w:r>
    </w:p>
    <w:p>
      <w:pPr>
        <w:spacing w:after="60" w:before="60"/>
      </w:pPr>
      <w:r>
        <w:rPr>
          <w:rFonts w:ascii="Arial" w:cs="Arial" w:eastAsia="Arial" w:hAnsi="Arial"/>
          <w:color w:val="1F2937"/>
          <w:sz w:val="22"/>
          <w:szCs w:val="22"/>
        </w:rPr>
        <w:t xml:space="preserve">8. Tips &amp; Workflows</w:t>
      </w:r>
    </w:p>
    <w:p>
      <w:pPr>
        <w:spacing w:after="60" w:before="60"/>
      </w:pPr>
      <w:r>
        <w:rPr>
          <w:rFonts w:ascii="Arial" w:cs="Arial" w:eastAsia="Arial" w:hAnsi="Arial"/>
          <w:color w:val="1F2937"/>
          <w:sz w:val="22"/>
          <w:szCs w:val="22"/>
        </w:rPr>
        <w:t xml:space="preserve">9. Glossary</w:t>
      </w:r>
    </w:p>
    <w:p>
      <w:r>
        <w:br w:type="page"/>
      </w:r>
    </w:p>
    <w:p>
      <w:pPr>
        <w:pStyle w:val="Heading1"/>
      </w:pPr>
      <w:r>
        <w:rPr>
          <w:rFonts w:ascii="Arial" w:cs="Arial" w:eastAsia="Arial" w:hAnsi="Arial"/>
          <w:b/>
          <w:bCs/>
          <w:color w:val="1F2937"/>
          <w:sz w:val="32"/>
          <w:szCs w:val="32"/>
        </w:rPr>
        <w:t xml:space="preserve">1. Overview</w:t>
      </w:r>
    </w:p>
    <w:p>
      <w:pPr>
        <w:spacing w:after="0" w:before="60"/>
      </w:pPr>
      <w:r>
        <w:t xml:space="preserve"/>
      </w:r>
    </w:p>
    <w:p>
      <w:pPr>
        <w:spacing w:after="80" w:before="80"/>
      </w:pPr>
      <w:r>
        <w:rPr>
          <w:rFonts w:ascii="Arial" w:cs="Arial" w:eastAsia="Arial" w:hAnsi="Arial"/>
          <w:color w:val="1F2937"/>
          <w:sz w:val="22"/>
          <w:szCs w:val="22"/>
        </w:rPr>
        <w:t xml:space="preserve">NervoSensus is a self-contained, browser-based application for exploring somatosensory neuron cell types. It integrates data from seven published studies into a single unified interface, allowing researchers to browse, filter, compare, and visualize 145 distinct cell types across four species.</w:t>
      </w:r>
    </w:p>
    <w:p>
      <w:pPr>
        <w:spacing w:after="0" w:before="60"/>
      </w:pPr>
      <w:r>
        <w:t xml:space="preserve"/>
      </w:r>
    </w:p>
    <w:p>
      <w:pPr>
        <w:spacing w:after="80" w:before="80"/>
      </w:pPr>
      <w:r>
        <w:rPr>
          <w:rFonts w:ascii="Arial" w:cs="Arial" w:eastAsia="Arial" w:hAnsi="Arial"/>
          <w:color w:val="1F2937"/>
          <w:sz w:val="22"/>
          <w:szCs w:val="22"/>
        </w:rPr>
        <w:t xml:space="preserve">The application requires no installation, no internet connection after loading, and no server. Simply open the index.html file in a web browser and start exploring.</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What you can do with NervoSensus</w:t>
      </w:r>
    </w:p>
    <w:p>
      <w:pPr>
        <w:pStyle w:val="ListParagraph"/>
        <w:numPr>
          <w:ilvl w:val="0"/>
          <w:numId w:val="2"/>
        </w:numPr>
        <w:spacing w:after="40" w:before="40"/>
      </w:pPr>
      <w:r>
        <w:rPr>
          <w:rFonts w:ascii="Arial" w:cs="Arial" w:eastAsia="Arial" w:hAnsi="Arial"/>
          <w:color w:val="1F2937"/>
          <w:sz w:val="22"/>
          <w:szCs w:val="22"/>
        </w:rPr>
        <w:t xml:space="preserve">Browse all 145 somatosensory neuron cell types from 7 peer-reviewed publications</w:t>
      </w:r>
    </w:p>
    <w:p>
      <w:pPr>
        <w:pStyle w:val="ListParagraph"/>
        <w:numPr>
          <w:ilvl w:val="0"/>
          <w:numId w:val="2"/>
        </w:numPr>
        <w:spacing w:after="40" w:before="40"/>
      </w:pPr>
      <w:r>
        <w:rPr>
          <w:rFonts w:ascii="Arial" w:cs="Arial" w:eastAsia="Arial" w:hAnsi="Arial"/>
          <w:color w:val="1F2937"/>
          <w:sz w:val="22"/>
          <w:szCs w:val="22"/>
        </w:rPr>
        <w:t xml:space="preserve">Filter cells by source, species, axon type, soma location, and marker genes</w:t>
      </w:r>
    </w:p>
    <w:p>
      <w:pPr>
        <w:pStyle w:val="ListParagraph"/>
        <w:numPr>
          <w:ilvl w:val="0"/>
          <w:numId w:val="2"/>
        </w:numPr>
        <w:spacing w:after="40" w:before="40"/>
      </w:pPr>
      <w:r>
        <w:rPr>
          <w:rFonts w:ascii="Arial" w:cs="Arial" w:eastAsia="Arial" w:hAnsi="Arial"/>
          <w:color w:val="1F2937"/>
          <w:sz w:val="22"/>
          <w:szCs w:val="22"/>
        </w:rPr>
        <w:t xml:space="preserve">Explore cross-study equivalences and subtype relationships between cell type nomenclatures</w:t>
      </w:r>
    </w:p>
    <w:p>
      <w:pPr>
        <w:pStyle w:val="ListParagraph"/>
        <w:numPr>
          <w:ilvl w:val="0"/>
          <w:numId w:val="2"/>
        </w:numPr>
        <w:spacing w:after="40" w:before="40"/>
      </w:pPr>
      <w:r>
        <w:rPr>
          <w:rFonts w:ascii="Arial" w:cs="Arial" w:eastAsia="Arial" w:hAnsi="Arial"/>
          <w:color w:val="1F2937"/>
          <w:sz w:val="22"/>
          <w:szCs w:val="22"/>
        </w:rPr>
        <w:t xml:space="preserve">Visualize data as cards, hierarchical trees, matrices, force-directed clusters, or lineage diagrams</w:t>
      </w:r>
    </w:p>
    <w:p>
      <w:pPr>
        <w:pStyle w:val="ListParagraph"/>
        <w:numPr>
          <w:ilvl w:val="0"/>
          <w:numId w:val="2"/>
        </w:numPr>
        <w:spacing w:after="40" w:before="40"/>
      </w:pPr>
      <w:r>
        <w:rPr>
          <w:rFonts w:ascii="Arial" w:cs="Arial" w:eastAsia="Arial" w:hAnsi="Arial"/>
          <w:color w:val="1F2937"/>
          <w:sz w:val="22"/>
          <w:szCs w:val="22"/>
        </w:rPr>
        <w:t xml:space="preserve">Load your own data via Excel (.xlsx) or JSON upload</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Who is this for?</w:t>
      </w:r>
    </w:p>
    <w:p>
      <w:pPr>
        <w:spacing w:after="80" w:before="80"/>
      </w:pPr>
      <w:r>
        <w:rPr>
          <w:rFonts w:ascii="Arial" w:cs="Arial" w:eastAsia="Arial" w:hAnsi="Arial"/>
          <w:color w:val="1F2937"/>
          <w:sz w:val="22"/>
          <w:szCs w:val="22"/>
        </w:rPr>
        <w:t xml:space="preserve">NervoSensus is designed for neuroscience researchers working with somatosensory neuron cell types — particularly those navigating the multiple, sometimes conflicting, nomenclatures used across different published atlases and studies.</w:t>
      </w:r>
    </w:p>
    <w:p>
      <w:r>
        <w:br w:type="page"/>
      </w:r>
    </w:p>
    <w:p>
      <w:pPr>
        <w:pStyle w:val="Heading1"/>
      </w:pPr>
      <w:r>
        <w:rPr>
          <w:rFonts w:ascii="Arial" w:cs="Arial" w:eastAsia="Arial" w:hAnsi="Arial"/>
          <w:b/>
          <w:bCs/>
          <w:color w:val="1F2937"/>
          <w:sz w:val="32"/>
          <w:szCs w:val="32"/>
        </w:rPr>
        <w:t xml:space="preserve">2. Getting Started</w:t>
      </w:r>
    </w:p>
    <w:p>
      <w:pPr>
        <w:spacing w:after="0" w:before="60"/>
      </w:pPr>
      <w:r>
        <w:t xml:space="preserve"/>
      </w:r>
    </w:p>
    <w:p>
      <w:pPr>
        <w:pStyle w:val="Heading2"/>
        <w:spacing w:after="100" w:before="280"/>
      </w:pPr>
      <w:r>
        <w:rPr>
          <w:rFonts w:ascii="Arial" w:cs="Arial" w:eastAsia="Arial" w:hAnsi="Arial"/>
          <w:b/>
          <w:bCs/>
          <w:color w:val="4F46E5"/>
          <w:sz w:val="26"/>
          <w:szCs w:val="26"/>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Browser</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Chrome, Firefox, Safari, or Edge (modern versions)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JavaScript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Must be enabled (on by default in all modern browsers)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Internet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required after initial page load (CDN libraries load on first 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Installation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 required</w:t>
            </w:r>
          </w:p>
        </w:tc>
      </w:tr>
    </w:tbl>
    <w:p>
      <w:pPr>
        <w:spacing w:after="0" w:before="160"/>
      </w:pPr>
      <w:r>
        <w:t xml:space="preserve"/>
      </w:r>
    </w:p>
    <w:p>
      <w:pPr>
        <w:pStyle w:val="Heading2"/>
        <w:spacing w:after="100" w:before="280"/>
      </w:pPr>
      <w:r>
        <w:rPr>
          <w:rFonts w:ascii="Arial" w:cs="Arial" w:eastAsia="Arial" w:hAnsi="Arial"/>
          <w:b/>
          <w:bCs/>
          <w:color w:val="4F46E5"/>
          <w:sz w:val="26"/>
          <w:szCs w:val="26"/>
        </w:rPr>
        <w:t xml:space="preserve">Opening NervoSensus</w:t>
      </w:r>
    </w:p>
    <w:p>
      <w:pPr>
        <w:spacing w:after="80" w:before="80"/>
      </w:pPr>
      <w:r>
        <w:rPr>
          <w:rFonts w:ascii="Arial" w:cs="Arial" w:eastAsia="Arial" w:hAnsi="Arial"/>
          <w:color w:val="1F2937"/>
          <w:sz w:val="22"/>
          <w:szCs w:val="22"/>
        </w:rPr>
        <w:t xml:space="preserve">To launch NervoSensus:</w:t>
      </w:r>
    </w:p>
    <w:p>
      <w:pPr>
        <w:pStyle w:val="ListParagraph"/>
        <w:numPr>
          <w:ilvl w:val="0"/>
          <w:numId w:val="2"/>
        </w:numPr>
        <w:spacing w:after="40" w:before="40"/>
      </w:pPr>
      <w:r>
        <w:rPr>
          <w:rFonts w:ascii="Arial" w:cs="Arial" w:eastAsia="Arial" w:hAnsi="Arial"/>
          <w:color w:val="1F2937"/>
          <w:sz w:val="22"/>
          <w:szCs w:val="22"/>
        </w:rPr>
        <w:t xml:space="preserve">Locate the file index.html in your NervoSensus folder</w:t>
      </w:r>
    </w:p>
    <w:p>
      <w:pPr>
        <w:pStyle w:val="ListParagraph"/>
        <w:numPr>
          <w:ilvl w:val="0"/>
          <w:numId w:val="2"/>
        </w:numPr>
        <w:spacing w:after="40" w:before="40"/>
      </w:pPr>
      <w:r>
        <w:rPr>
          <w:rFonts w:ascii="Arial" w:cs="Arial" w:eastAsia="Arial" w:hAnsi="Arial"/>
          <w:color w:val="1F2937"/>
          <w:sz w:val="22"/>
          <w:szCs w:val="22"/>
        </w:rPr>
        <w:t xml:space="preserve">Double-click the file, or right-click and choose Open with &gt; your preferred browser</w:t>
      </w:r>
    </w:p>
    <w:p>
      <w:pPr>
        <w:pStyle w:val="ListParagraph"/>
        <w:numPr>
          <w:ilvl w:val="0"/>
          <w:numId w:val="2"/>
        </w:numPr>
        <w:spacing w:after="40" w:before="40"/>
      </w:pPr>
      <w:r>
        <w:rPr>
          <w:rFonts w:ascii="Arial" w:cs="Arial" w:eastAsia="Arial" w:hAnsi="Arial"/>
          <w:color w:val="1F2937"/>
          <w:sz w:val="22"/>
          <w:szCs w:val="22"/>
        </w:rPr>
        <w:t xml:space="preserve">The application will load immediately — no login or setup needed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Tip: </w:t>
            </w:r>
            <w:r>
              <w:rPr>
                <w:rFonts w:ascii="Arial" w:cs="Arial" w:eastAsia="Arial" w:hAnsi="Arial"/>
                <w:color w:val="1F2937"/>
                <w:sz w:val="22"/>
                <w:szCs w:val="22"/>
              </w:rPr>
              <w:t xml:space="preserve">If the application appears blank or broken, ensure JavaScript is enabled in your browser settings and that you are using a modern browser version.</w:t>
            </w:r>
          </w:p>
        </w:tc>
      </w:tr>
    </w:tbl>
    <w:p>
      <w:pPr>
        <w:spacing w:after="0" w:before="160"/>
      </w:pPr>
      <w:r>
        <w:t xml:space="preserve"/>
      </w:r>
    </w:p>
    <w:p>
      <w:pPr>
        <w:pStyle w:val="Heading2"/>
        <w:spacing w:after="100" w:before="280"/>
      </w:pPr>
      <w:r>
        <w:rPr>
          <w:rFonts w:ascii="Arial" w:cs="Arial" w:eastAsia="Arial" w:hAnsi="Arial"/>
          <w:b/>
          <w:bCs/>
          <w:color w:val="4F46E5"/>
          <w:sz w:val="26"/>
          <w:szCs w:val="26"/>
        </w:rPr>
        <w:t xml:space="preserve">First Time Use</w:t>
      </w:r>
    </w:p>
    <w:p>
      <w:pPr>
        <w:spacing w:after="80" w:before="80"/>
      </w:pPr>
      <w:r>
        <w:rPr>
          <w:rFonts w:ascii="Arial" w:cs="Arial" w:eastAsia="Arial" w:hAnsi="Arial"/>
          <w:color w:val="1F2937"/>
          <w:sz w:val="22"/>
          <w:szCs w:val="22"/>
        </w:rPr>
        <w:t xml:space="preserve">When you open NervoSensus for the first time, it loads with all 145 default cell types pre-embedded. The data status indicator in the top-right corner will confirm: Default data (145 cells).</w:t>
      </w:r>
    </w:p>
    <w:p>
      <w:pPr>
        <w:spacing w:after="0" w:before="80"/>
      </w:pPr>
      <w:r>
        <w:t xml:space="preserve"/>
      </w:r>
    </w:p>
    <w:p>
      <w:pPr>
        <w:spacing w:after="80" w:before="80"/>
      </w:pPr>
      <w:r>
        <w:rPr>
          <w:rFonts w:ascii="Arial" w:cs="Arial" w:eastAsia="Arial" w:hAnsi="Arial"/>
          <w:color w:val="1F2937"/>
          <w:sz w:val="22"/>
          <w:szCs w:val="22"/>
        </w:rPr>
        <w:t xml:space="preserve">The application opens in Card View by default, showing all cell types as a browsable grid of cards.</w:t>
      </w:r>
    </w:p>
    <w:p>
      <w:r>
        <w:br w:type="page"/>
      </w:r>
    </w:p>
    <w:p>
      <w:pPr>
        <w:pStyle w:val="Heading1"/>
      </w:pPr>
      <w:r>
        <w:rPr>
          <w:rFonts w:ascii="Arial" w:cs="Arial" w:eastAsia="Arial" w:hAnsi="Arial"/>
          <w:b/>
          <w:bCs/>
          <w:color w:val="1F2937"/>
          <w:sz w:val="32"/>
          <w:szCs w:val="32"/>
        </w:rPr>
        <w:t xml:space="preserve">3. The Interface</w:t>
      </w:r>
    </w:p>
    <w:p>
      <w:pPr>
        <w:spacing w:after="0" w:before="60"/>
      </w:pPr>
      <w:r>
        <w:t xml:space="preserve"/>
      </w:r>
    </w:p>
    <w:p>
      <w:pPr>
        <w:spacing w:after="80" w:before="80"/>
      </w:pPr>
      <w:r>
        <w:rPr>
          <w:rFonts w:ascii="Arial" w:cs="Arial" w:eastAsia="Arial" w:hAnsi="Arial"/>
          <w:color w:val="1F2937"/>
          <w:sz w:val="22"/>
          <w:szCs w:val="22"/>
        </w:rPr>
        <w:t xml:space="preserve">The NervoSensus interface is organized into three main areas: the header, the view navigation bar, and the main content area.</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Header</w:t>
      </w:r>
    </w:p>
    <w:p>
      <w:pPr>
        <w:spacing w:after="80" w:before="80"/>
      </w:pPr>
      <w:r>
        <w:rPr>
          <w:rFonts w:ascii="Arial" w:cs="Arial" w:eastAsia="Arial" w:hAnsi="Arial"/>
          <w:color w:val="1F2937"/>
          <w:sz w:val="22"/>
          <w:szCs w:val="22"/>
        </w:rPr>
        <w:t xml:space="preserve">The header is always visible at the top of the page and contains:</w:t>
      </w:r>
    </w:p>
    <w:p>
      <w:pPr>
        <w:pStyle w:val="ListParagraph"/>
        <w:numPr>
          <w:ilvl w:val="0"/>
          <w:numId w:val="2"/>
        </w:numPr>
        <w:spacing w:after="40" w:before="40"/>
      </w:pPr>
      <w:r>
        <w:rPr>
          <w:rFonts w:ascii="Arial" w:cs="Arial" w:eastAsia="Arial" w:hAnsi="Arial"/>
          <w:color w:val="1F2937"/>
          <w:sz w:val="22"/>
          <w:szCs w:val="22"/>
        </w:rPr>
        <w:t xml:space="preserve">Application title and subtitle</w:t>
      </w:r>
    </w:p>
    <w:p>
      <w:pPr>
        <w:pStyle w:val="ListParagraph"/>
        <w:numPr>
          <w:ilvl w:val="0"/>
          <w:numId w:val="2"/>
        </w:numPr>
        <w:spacing w:after="40" w:before="40"/>
      </w:pPr>
      <w:r>
        <w:rPr>
          <w:rFonts w:ascii="Arial" w:cs="Arial" w:eastAsia="Arial" w:hAnsi="Arial"/>
          <w:color w:val="1F2937"/>
          <w:sz w:val="22"/>
          <w:szCs w:val="22"/>
        </w:rPr>
        <w:t xml:space="preserve">Load Data button — opens the data upload dialog for loading custom datasets</w:t>
      </w:r>
    </w:p>
    <w:p>
      <w:pPr>
        <w:pStyle w:val="ListParagraph"/>
        <w:numPr>
          <w:ilvl w:val="0"/>
          <w:numId w:val="2"/>
        </w:numPr>
        <w:spacing w:after="40" w:before="40"/>
      </w:pPr>
      <w:r>
        <w:rPr>
          <w:rFonts w:ascii="Arial" w:cs="Arial" w:eastAsia="Arial" w:hAnsi="Arial"/>
          <w:color w:val="1F2937"/>
          <w:sz w:val="22"/>
          <w:szCs w:val="22"/>
        </w:rPr>
        <w:t xml:space="preserve">Data status indicator — shows whether the default embedded data or uploaded data is active</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View Navigation Bar</w:t>
      </w:r>
    </w:p>
    <w:p>
      <w:pPr>
        <w:spacing w:after="80" w:before="80"/>
      </w:pPr>
      <w:r>
        <w:rPr>
          <w:rFonts w:ascii="Arial" w:cs="Arial" w:eastAsia="Arial" w:hAnsi="Arial"/>
          <w:color w:val="1F2937"/>
          <w:sz w:val="22"/>
          <w:szCs w:val="22"/>
        </w:rPr>
        <w:t xml:space="preserve">Below the header, six buttons let you switch between the available views: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 Card View</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Default view; browse cells as expandable cards with filtering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 Tree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Hierarchical grouping by location or axon type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 Synthesis View</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Matrix table of cells versus phenotypic 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 Cluster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Interactive force-directed visualization of all 145 cells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 Lineage View</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Cross-source relationship diagram across 4 columns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 Compare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Side-by-side comparison of cell types</w:t>
            </w:r>
          </w:p>
        </w:tc>
      </w:tr>
    </w:tbl>
    <w:p>
      <w:pPr>
        <w:spacing w:after="0" w:before="160"/>
      </w:pPr>
      <w:r>
        <w:t xml:space="preserve"/>
      </w:r>
    </w:p>
    <w:p>
      <w:pPr>
        <w:pStyle w:val="Heading2"/>
        <w:spacing w:after="100" w:before="280"/>
      </w:pPr>
      <w:r>
        <w:rPr>
          <w:rFonts w:ascii="Arial" w:cs="Arial" w:eastAsia="Arial" w:hAnsi="Arial"/>
          <w:b/>
          <w:bCs/>
          <w:color w:val="4F46E5"/>
          <w:sz w:val="26"/>
          <w:szCs w:val="26"/>
        </w:rPr>
        <w:t xml:space="preserve">Main Content Area</w:t>
      </w:r>
    </w:p>
    <w:p>
      <w:pPr>
        <w:spacing w:after="80" w:before="80"/>
      </w:pPr>
      <w:r>
        <w:rPr>
          <w:rFonts w:ascii="Arial" w:cs="Arial" w:eastAsia="Arial" w:hAnsi="Arial"/>
          <w:color w:val="1F2937"/>
          <w:sz w:val="22"/>
          <w:szCs w:val="22"/>
        </w:rPr>
        <w:t xml:space="preserve">The central area changes depending on which view is active. Each view has its own controls and interaction patterns, described in Section 4.</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Color Coding</w:t>
      </w:r>
    </w:p>
    <w:p>
      <w:pPr>
        <w:spacing w:after="80" w:before="80"/>
      </w:pPr>
      <w:r>
        <w:rPr>
          <w:rFonts w:ascii="Arial" w:cs="Arial" w:eastAsia="Arial" w:hAnsi="Arial"/>
          <w:color w:val="1F2937"/>
          <w:sz w:val="22"/>
          <w:szCs w:val="22"/>
        </w:rPr>
        <w:t xml:space="preserve">Throughout all views, cell types are color-coded by their source publication. This consistent coding helps you quickly identify which study a cell comes from: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Purple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CSA paper (Bhuiyan et 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Big DRG paper (Bhuiyan et al., 2025)</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Violet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Krauter et al.,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Cyan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Qi et al., 2024</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Yu et al., 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Tavares-Ferreira et al., 2022</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Pink</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Kupari et al., 2021</w:t>
            </w:r>
          </w:p>
        </w:tc>
      </w:tr>
    </w:tbl>
    <w:p>
      <w:r>
        <w:br w:type="page"/>
      </w:r>
    </w:p>
    <w:p>
      <w:pPr>
        <w:pStyle w:val="Heading1"/>
      </w:pPr>
      <w:r>
        <w:rPr>
          <w:rFonts w:ascii="Arial" w:cs="Arial" w:eastAsia="Arial" w:hAnsi="Arial"/>
          <w:b/>
          <w:bCs/>
          <w:color w:val="1F2937"/>
          <w:sz w:val="32"/>
          <w:szCs w:val="32"/>
        </w:rPr>
        <w:t xml:space="preserve">4. Views</w:t>
      </w:r>
    </w:p>
    <w:p>
      <w:pPr>
        <w:spacing w:after="0" w:before="60"/>
      </w:pPr>
      <w:r>
        <w:t xml:space="preserve"/>
      </w:r>
    </w:p>
    <w:p>
      <w:pPr>
        <w:spacing w:after="80" w:before="80"/>
      </w:pPr>
      <w:r>
        <w:rPr>
          <w:rFonts w:ascii="Arial" w:cs="Arial" w:eastAsia="Arial" w:hAnsi="Arial"/>
          <w:color w:val="1F2937"/>
          <w:sz w:val="22"/>
          <w:szCs w:val="22"/>
        </w:rPr>
        <w:t xml:space="preserve">NervoSensus offers six views, each designed to highlight different aspects of the data. You can switch between views at any time without losing your place.</w:t>
      </w:r>
    </w:p>
    <w:p>
      <w:pPr>
        <w:spacing w:after="0" w:before="120"/>
      </w:pPr>
      <w:r>
        <w:t xml:space="preserve"/>
      </w:r>
    </w:p>
    <w:p>
      <w:pPr>
        <w:pStyle w:val="Heading2"/>
      </w:pPr>
      <w:r>
        <w:rPr>
          <w:rFonts w:ascii="Arial" w:cs="Arial" w:eastAsia="Arial" w:hAnsi="Arial"/>
          <w:b/>
          <w:bCs/>
          <w:color w:val="4F46E5"/>
          <w:sz w:val="26"/>
          <w:szCs w:val="26"/>
        </w:rPr>
        <w:t xml:space="preserve">4.1  Card View</w:t>
      </w:r>
    </w:p>
    <w:p>
      <w:pPr>
        <w:spacing w:after="0" w:before="60"/>
      </w:pPr>
      <w:r>
        <w:t xml:space="preserve"/>
      </w:r>
    </w:p>
    <w:p>
      <w:pPr>
        <w:spacing w:after="80" w:before="80"/>
      </w:pPr>
      <w:r>
        <w:rPr>
          <w:rFonts w:ascii="Arial" w:cs="Arial" w:eastAsia="Arial" w:hAnsi="Arial"/>
          <w:color w:val="1F2937"/>
          <w:sz w:val="22"/>
          <w:szCs w:val="22"/>
        </w:rPr>
        <w:t xml:space="preserve">Card View is the default view and the best starting point for exploring NervoSensus. It displays all cell types as a responsive grid of cards, each showing a summary of key information at a glance.</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What each card shows</w:t>
      </w:r>
    </w:p>
    <w:p>
      <w:pPr>
        <w:pStyle w:val="ListParagraph"/>
        <w:numPr>
          <w:ilvl w:val="0"/>
          <w:numId w:val="2"/>
        </w:numPr>
        <w:spacing w:after="40" w:before="40"/>
      </w:pPr>
      <w:r>
        <w:rPr>
          <w:rFonts w:ascii="Arial" w:cs="Arial" w:eastAsia="Arial" w:hAnsi="Arial"/>
          <w:color w:val="1F2937"/>
          <w:sz w:val="22"/>
          <w:szCs w:val="22"/>
        </w:rPr>
        <w:t xml:space="preserve">Cell name (preferred label)</w:t>
      </w:r>
    </w:p>
    <w:p>
      <w:pPr>
        <w:pStyle w:val="ListParagraph"/>
        <w:numPr>
          <w:ilvl w:val="0"/>
          <w:numId w:val="2"/>
        </w:numPr>
        <w:spacing w:after="40" w:before="40"/>
      </w:pPr>
      <w:r>
        <w:rPr>
          <w:rFonts w:ascii="Arial" w:cs="Arial" w:eastAsia="Arial" w:hAnsi="Arial"/>
          <w:color w:val="1F2937"/>
          <w:sz w:val="22"/>
          <w:szCs w:val="22"/>
        </w:rPr>
        <w:t xml:space="preserve">Source publication (color-coded badge)</w:t>
      </w:r>
    </w:p>
    <w:p>
      <w:pPr>
        <w:pStyle w:val="ListParagraph"/>
        <w:numPr>
          <w:ilvl w:val="0"/>
          <w:numId w:val="2"/>
        </w:numPr>
        <w:spacing w:after="40" w:before="40"/>
      </w:pPr>
      <w:r>
        <w:rPr>
          <w:rFonts w:ascii="Arial" w:cs="Arial" w:eastAsia="Arial" w:hAnsi="Arial"/>
          <w:color w:val="1F2937"/>
          <w:sz w:val="22"/>
          <w:szCs w:val="22"/>
        </w:rPr>
        <w:t xml:space="preserve">Entity ID</w:t>
      </w:r>
    </w:p>
    <w:p>
      <w:pPr>
        <w:pStyle w:val="ListParagraph"/>
        <w:numPr>
          <w:ilvl w:val="0"/>
          <w:numId w:val="2"/>
        </w:numPr>
        <w:spacing w:after="40" w:before="40"/>
      </w:pPr>
      <w:r>
        <w:rPr>
          <w:rFonts w:ascii="Arial" w:cs="Arial" w:eastAsia="Arial" w:hAnsi="Arial"/>
          <w:color w:val="1F2937"/>
          <w:sz w:val="22"/>
          <w:szCs w:val="22"/>
        </w:rPr>
        <w:t xml:space="preserve">Species</w:t>
      </w:r>
    </w:p>
    <w:p>
      <w:pPr>
        <w:pStyle w:val="ListParagraph"/>
        <w:numPr>
          <w:ilvl w:val="0"/>
          <w:numId w:val="2"/>
        </w:numPr>
        <w:spacing w:after="40" w:before="40"/>
      </w:pPr>
      <w:r>
        <w:rPr>
          <w:rFonts w:ascii="Arial" w:cs="Arial" w:eastAsia="Arial" w:hAnsi="Arial"/>
          <w:color w:val="1F2937"/>
          <w:sz w:val="22"/>
          <w:szCs w:val="22"/>
        </w:rPr>
        <w:t xml:space="preserve">Marker gene expression string</w:t>
      </w:r>
    </w:p>
    <w:p>
      <w:pPr>
        <w:pStyle w:val="ListParagraph"/>
        <w:numPr>
          <w:ilvl w:val="0"/>
          <w:numId w:val="2"/>
        </w:numPr>
        <w:spacing w:after="40" w:before="40"/>
      </w:pPr>
      <w:r>
        <w:rPr>
          <w:rFonts w:ascii="Arial" w:cs="Arial" w:eastAsia="Arial" w:hAnsi="Arial"/>
          <w:color w:val="1F2937"/>
          <w:sz w:val="22"/>
          <w:szCs w:val="22"/>
        </w:rPr>
        <w:t xml:space="preserve">Axon/fiber type phenotype</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Filtering</w:t>
      </w:r>
    </w:p>
    <w:p>
      <w:pPr>
        <w:spacing w:after="80" w:before="80"/>
      </w:pPr>
      <w:r>
        <w:rPr>
          <w:rFonts w:ascii="Arial" w:cs="Arial" w:eastAsia="Arial" w:hAnsi="Arial"/>
          <w:color w:val="1F2937"/>
          <w:sz w:val="22"/>
          <w:szCs w:val="22"/>
        </w:rPr>
        <w:t xml:space="preserve">The filter bar above the card grid lets you narrow down the displayed cells. Filters work together — applying multiple filters shows only cells matching all selected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Source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Filter by publication (e.g., show only CSA paper cells)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Species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Filter by species: Mouse, Human, Macaque, or Guinea Pig</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Axon Type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Filter by fiber type: Aβ, Aδ, or C fiber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Filter by soma location: DRG or Trigeminal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Gene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Filter by individual marker gene expression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Equivalence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 only cells with cross-source equivalences, or only those without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Text search</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Search by name, gene, or any text field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Tip: </w:t>
            </w:r>
            <w:r>
              <w:rPr>
                <w:rFonts w:ascii="Arial" w:cs="Arial" w:eastAsia="Arial" w:hAnsi="Arial"/>
                <w:color w:val="1F2937"/>
                <w:sz w:val="22"/>
                <w:szCs w:val="22"/>
              </w:rPr>
              <w:t xml:space="preserve">The filter count updates live as you type or change selections, so you can see how many cells match before committing to a filter.</w:t>
            </w:r>
          </w:p>
        </w:tc>
      </w:tr>
    </w:tbl>
    <w:p>
      <w:pPr>
        <w:spacing w:after="0" w:before="100"/>
      </w:pPr>
      <w:r>
        <w:t xml:space="preserve"/>
      </w:r>
    </w:p>
    <w:p>
      <w:pPr>
        <w:pStyle w:val="Heading3"/>
        <w:spacing w:after="80" w:before="200"/>
      </w:pPr>
      <w:r>
        <w:rPr>
          <w:rFonts w:ascii="Arial" w:cs="Arial" w:eastAsia="Arial" w:hAnsi="Arial"/>
          <w:b/>
          <w:bCs/>
          <w:color w:val="1F2937"/>
          <w:sz w:val="24"/>
          <w:szCs w:val="24"/>
        </w:rPr>
        <w:t xml:space="preserve">Detail Modal</w:t>
      </w:r>
    </w:p>
    <w:p>
      <w:pPr>
        <w:spacing w:after="80" w:before="80"/>
      </w:pPr>
      <w:r>
        <w:rPr>
          <w:rFonts w:ascii="Arial" w:cs="Arial" w:eastAsia="Arial" w:hAnsi="Arial"/>
          <w:color w:val="1F2937"/>
          <w:sz w:val="22"/>
          <w:szCs w:val="22"/>
        </w:rPr>
        <w:t xml:space="preserve">Clicking any card opens a detail modal showing the full record for that cell type, including:</w:t>
      </w:r>
    </w:p>
    <w:p>
      <w:pPr>
        <w:pStyle w:val="ListParagraph"/>
        <w:numPr>
          <w:ilvl w:val="0"/>
          <w:numId w:val="2"/>
        </w:numPr>
        <w:spacing w:after="40" w:before="40"/>
      </w:pPr>
      <w:r>
        <w:rPr>
          <w:rFonts w:ascii="Arial" w:cs="Arial" w:eastAsia="Arial" w:hAnsi="Arial"/>
          <w:color w:val="1F2937"/>
          <w:sz w:val="22"/>
          <w:szCs w:val="22"/>
        </w:rPr>
        <w:t xml:space="preserve">All data fields: species, soma location, circuit role, neurotransmitter, Cre line</w:t>
      </w:r>
    </w:p>
    <w:p>
      <w:pPr>
        <w:pStyle w:val="ListParagraph"/>
        <w:numPr>
          <w:ilvl w:val="0"/>
          <w:numId w:val="2"/>
        </w:numPr>
        <w:spacing w:after="40" w:before="40"/>
      </w:pPr>
      <w:r>
        <w:rPr>
          <w:rFonts w:ascii="Arial" w:cs="Arial" w:eastAsia="Arial" w:hAnsi="Arial"/>
          <w:color w:val="1F2937"/>
          <w:sz w:val="22"/>
          <w:szCs w:val="22"/>
        </w:rPr>
        <w:t xml:space="preserve">Marker genes with links to ontology URIs</w:t>
      </w:r>
    </w:p>
    <w:p>
      <w:pPr>
        <w:pStyle w:val="ListParagraph"/>
        <w:numPr>
          <w:ilvl w:val="0"/>
          <w:numId w:val="2"/>
        </w:numPr>
        <w:spacing w:after="40" w:before="40"/>
      </w:pPr>
      <w:r>
        <w:rPr>
          <w:rFonts w:ascii="Arial" w:cs="Arial" w:eastAsia="Arial" w:hAnsi="Arial"/>
          <w:color w:val="1F2937"/>
          <w:sz w:val="22"/>
          <w:szCs w:val="22"/>
        </w:rPr>
        <w:t xml:space="preserve">Axon phenotype and physiology string</w:t>
      </w:r>
    </w:p>
    <w:p>
      <w:pPr>
        <w:pStyle w:val="ListParagraph"/>
        <w:numPr>
          <w:ilvl w:val="0"/>
          <w:numId w:val="2"/>
        </w:numPr>
        <w:spacing w:after="40" w:before="40"/>
      </w:pPr>
      <w:r>
        <w:rPr>
          <w:rFonts w:ascii="Arial" w:cs="Arial" w:eastAsia="Arial" w:hAnsi="Arial"/>
          <w:color w:val="1F2937"/>
          <w:sz w:val="22"/>
          <w:szCs w:val="22"/>
        </w:rPr>
        <w:t xml:space="preserve">Asserted relationships — equivalences and subtypes shown as clickable buttons</w:t>
      </w:r>
    </w:p>
    <w:p>
      <w:pPr>
        <w:pStyle w:val="ListParagraph"/>
        <w:numPr>
          <w:ilvl w:val="0"/>
          <w:numId w:val="2"/>
        </w:numPr>
        <w:spacing w:after="40" w:before="40"/>
      </w:pPr>
      <w:r>
        <w:rPr>
          <w:rFonts w:ascii="Arial" w:cs="Arial" w:eastAsia="Arial" w:hAnsi="Arial"/>
          <w:color w:val="1F2937"/>
          <w:sz w:val="22"/>
          <w:szCs w:val="22"/>
        </w:rPr>
        <w:t xml:space="preserve">Source publication DOI link</w:t>
      </w:r>
    </w:p>
    <w:p>
      <w:pPr>
        <w:pStyle w:val="ListParagraph"/>
        <w:numPr>
          <w:ilvl w:val="0"/>
          <w:numId w:val="2"/>
        </w:numPr>
        <w:spacing w:after="40" w:before="40"/>
      </w:pPr>
      <w:r>
        <w:rPr>
          <w:rFonts w:ascii="Arial" w:cs="Arial" w:eastAsia="Arial" w:hAnsi="Arial"/>
          <w:color w:val="1F2937"/>
          <w:sz w:val="22"/>
          <w:szCs w:val="22"/>
        </w:rPr>
        <w:t xml:space="preserve">Source data links</w:t>
      </w:r>
    </w:p>
    <w:p>
      <w:pPr>
        <w:pStyle w:val="ListParagraph"/>
        <w:numPr>
          <w:ilvl w:val="0"/>
          <w:numId w:val="2"/>
        </w:numPr>
        <w:spacing w:after="40" w:before="40"/>
      </w:pPr>
      <w:r>
        <w:rPr>
          <w:rFonts w:ascii="Arial" w:cs="Arial" w:eastAsia="Arial" w:hAnsi="Arial"/>
          <w:color w:val="1F2937"/>
          <w:sz w:val="22"/>
          <w:szCs w:val="22"/>
        </w:rPr>
        <w:t xml:space="preserve">Curator notes and alert notes</w:t>
      </w:r>
    </w:p>
    <w:p>
      <w:pPr>
        <w:spacing w:after="0" w:before="80"/>
      </w:pPr>
      <w:r>
        <w:t xml:space="preserve"/>
      </w:r>
    </w:p>
    <w:p>
      <w:pPr>
        <w:spacing w:after="80" w:before="80"/>
      </w:pPr>
      <w:r>
        <w:rPr>
          <w:rFonts w:ascii="Arial" w:cs="Arial" w:eastAsia="Arial" w:hAnsi="Arial"/>
          <w:color w:val="1F2937"/>
          <w:sz w:val="22"/>
          <w:szCs w:val="22"/>
        </w:rPr>
        <w:t xml:space="preserve">Clicking an equivalence or subtype button within the modal navigates directly to the linked cell type.</w:t>
      </w:r>
    </w:p>
    <w:p>
      <w:pPr>
        <w:spacing w:after="0" w:before="160"/>
      </w:pPr>
      <w:r>
        <w:t xml:space="preserve"/>
      </w:r>
    </w:p>
    <w:p>
      <w:pPr>
        <w:pStyle w:val="Heading2"/>
      </w:pPr>
      <w:r>
        <w:rPr>
          <w:rFonts w:ascii="Arial" w:cs="Arial" w:eastAsia="Arial" w:hAnsi="Arial"/>
          <w:b/>
          <w:bCs/>
          <w:color w:val="4F46E5"/>
          <w:sz w:val="26"/>
          <w:szCs w:val="26"/>
        </w:rPr>
        <w:t xml:space="preserve">4.2  Tree View</w:t>
      </w:r>
    </w:p>
    <w:p>
      <w:pPr>
        <w:spacing w:after="0" w:before="60"/>
      </w:pPr>
      <w:r>
        <w:t xml:space="preserve"/>
      </w:r>
    </w:p>
    <w:p>
      <w:pPr>
        <w:spacing w:after="80" w:before="80"/>
      </w:pPr>
      <w:r>
        <w:rPr>
          <w:rFonts w:ascii="Arial" w:cs="Arial" w:eastAsia="Arial" w:hAnsi="Arial"/>
          <w:color w:val="1F2937"/>
          <w:sz w:val="22"/>
          <w:szCs w:val="22"/>
        </w:rPr>
        <w:t xml:space="preserve">Tree View organizes cell types in a collapsible hierarchy, making it easier to see how cells group together by biological category.</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Grouping Modes</w:t>
      </w:r>
    </w:p>
    <w:p>
      <w:pPr>
        <w:spacing w:after="80" w:before="80"/>
      </w:pPr>
      <w:r>
        <w:rPr>
          <w:rFonts w:ascii="Arial" w:cs="Arial" w:eastAsia="Arial" w:hAnsi="Arial"/>
          <w:color w:val="1F2937"/>
          <w:sz w:val="22"/>
          <w:szCs w:val="22"/>
        </w:rPr>
        <w:t xml:space="preserve">Use the grouping toggle to switch between two organizational schemes:</w:t>
      </w:r>
    </w:p>
    <w:p>
      <w:pPr>
        <w:pStyle w:val="ListParagraph"/>
        <w:numPr>
          <w:ilvl w:val="0"/>
          <w:numId w:val="2"/>
        </w:numPr>
        <w:spacing w:after="40" w:before="40"/>
      </w:pPr>
      <w:r>
        <w:rPr>
          <w:rFonts w:ascii="Arial" w:cs="Arial" w:eastAsia="Arial" w:hAnsi="Arial"/>
          <w:color w:val="1F2937"/>
          <w:sz w:val="22"/>
          <w:szCs w:val="22"/>
        </w:rPr>
        <w:t xml:space="preserve">By Location: Groups cells first by soma location (DRG or Trigeminal), then by cell type family, then by individual species variants within each family.</w:t>
      </w:r>
    </w:p>
    <w:p>
      <w:pPr>
        <w:pStyle w:val="ListParagraph"/>
        <w:numPr>
          <w:ilvl w:val="0"/>
          <w:numId w:val="2"/>
        </w:numPr>
        <w:spacing w:after="40" w:before="40"/>
      </w:pPr>
      <w:r>
        <w:rPr>
          <w:rFonts w:ascii="Arial" w:cs="Arial" w:eastAsia="Arial" w:hAnsi="Arial"/>
          <w:color w:val="1F2937"/>
          <w:sz w:val="22"/>
          <w:szCs w:val="22"/>
        </w:rPr>
        <w:t xml:space="preserve">By Axon Type: Groups cells first by fiber type (Aβ, Aδ, C fiber, or unknown), then by family within each type.</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Navigation</w:t>
      </w:r>
    </w:p>
    <w:p>
      <w:pPr>
        <w:pStyle w:val="ListParagraph"/>
        <w:numPr>
          <w:ilvl w:val="0"/>
          <w:numId w:val="2"/>
        </w:numPr>
        <w:spacing w:after="40" w:before="40"/>
      </w:pPr>
      <w:r>
        <w:rPr>
          <w:rFonts w:ascii="Arial" w:cs="Arial" w:eastAsia="Arial" w:hAnsi="Arial"/>
          <w:color w:val="1F2937"/>
          <w:sz w:val="22"/>
          <w:szCs w:val="22"/>
        </w:rPr>
        <w:t xml:space="preserve">Click a family header to expand or collapse it</w:t>
      </w:r>
    </w:p>
    <w:p>
      <w:pPr>
        <w:pStyle w:val="ListParagraph"/>
        <w:numPr>
          <w:ilvl w:val="0"/>
          <w:numId w:val="2"/>
        </w:numPr>
        <w:spacing w:after="40" w:before="40"/>
      </w:pPr>
      <w:r>
        <w:rPr>
          <w:rFonts w:ascii="Arial" w:cs="Arial" w:eastAsia="Arial" w:hAnsi="Arial"/>
          <w:color w:val="1F2937"/>
          <w:sz w:val="22"/>
          <w:szCs w:val="22"/>
        </w:rPr>
        <w:t xml:space="preserve">Expanded families show individual cell variants with their gene expression strings</w:t>
      </w:r>
    </w:p>
    <w:p>
      <w:pPr>
        <w:pStyle w:val="ListParagraph"/>
        <w:numPr>
          <w:ilvl w:val="0"/>
          <w:numId w:val="2"/>
        </w:numPr>
        <w:spacing w:after="40" w:before="40"/>
      </w:pPr>
      <w:r>
        <w:rPr>
          <w:rFonts w:ascii="Arial" w:cs="Arial" w:eastAsia="Arial" w:hAnsi="Arial"/>
          <w:color w:val="1F2937"/>
          <w:sz w:val="22"/>
          <w:szCs w:val="22"/>
        </w:rPr>
        <w:t xml:space="preserve">Click any individual cell to view its full detail modal</w:t>
      </w:r>
    </w:p>
    <w:p>
      <w:pPr>
        <w:spacing w:after="0" w:before="160"/>
      </w:pPr>
      <w:r>
        <w:t xml:space="preserve"/>
      </w:r>
    </w:p>
    <w:p>
      <w:pPr>
        <w:pStyle w:val="Heading2"/>
      </w:pPr>
      <w:r>
        <w:rPr>
          <w:rFonts w:ascii="Arial" w:cs="Arial" w:eastAsia="Arial" w:hAnsi="Arial"/>
          <w:b/>
          <w:bCs/>
          <w:color w:val="4F46E5"/>
          <w:sz w:val="26"/>
          <w:szCs w:val="26"/>
        </w:rPr>
        <w:t xml:space="preserve">4.3  Synthesis View</w:t>
      </w:r>
    </w:p>
    <w:p>
      <w:pPr>
        <w:spacing w:after="0" w:before="60"/>
      </w:pPr>
      <w:r>
        <w:t xml:space="preserve"/>
      </w:r>
    </w:p>
    <w:p>
      <w:pPr>
        <w:spacing w:after="80" w:before="80"/>
      </w:pPr>
      <w:r>
        <w:rPr>
          <w:rFonts w:ascii="Arial" w:cs="Arial" w:eastAsia="Arial" w:hAnsi="Arial"/>
          <w:color w:val="1F2937"/>
          <w:sz w:val="22"/>
          <w:szCs w:val="22"/>
        </w:rPr>
        <w:t xml:space="preserve">Synthesis View presents all cell types in a tabular matrix — cells as rows, phenotypic properties as columns — giving a high-level comparative overview of the dataset.</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Columns</w:t>
      </w:r>
    </w:p>
    <w:p>
      <w:pPr>
        <w:spacing w:after="80" w:before="80"/>
      </w:pPr>
      <w:r>
        <w:rPr>
          <w:rFonts w:ascii="Arial" w:cs="Arial" w:eastAsia="Arial" w:hAnsi="Arial"/>
          <w:color w:val="1F2937"/>
          <w:sz w:val="22"/>
          <w:szCs w:val="22"/>
        </w:rPr>
        <w:t xml:space="preserve">Each column represents a phenotypic property or attribute:</w:t>
      </w:r>
    </w:p>
    <w:p>
      <w:pPr>
        <w:pStyle w:val="ListParagraph"/>
        <w:numPr>
          <w:ilvl w:val="0"/>
          <w:numId w:val="2"/>
        </w:numPr>
        <w:spacing w:after="40" w:before="40"/>
      </w:pPr>
      <w:r>
        <w:rPr>
          <w:rFonts w:ascii="Arial" w:cs="Arial" w:eastAsia="Arial" w:hAnsi="Arial"/>
          <w:color w:val="1F2937"/>
          <w:sz w:val="22"/>
          <w:szCs w:val="22"/>
        </w:rPr>
        <w:t xml:space="preserve">Sensory threshold (e.g., LTM, HTM, Cold, Heat, Proprioceptive)</w:t>
      </w:r>
    </w:p>
    <w:p>
      <w:pPr>
        <w:pStyle w:val="ListParagraph"/>
        <w:numPr>
          <w:ilvl w:val="0"/>
          <w:numId w:val="2"/>
        </w:numPr>
        <w:spacing w:after="40" w:before="40"/>
      </w:pPr>
      <w:r>
        <w:rPr>
          <w:rFonts w:ascii="Arial" w:cs="Arial" w:eastAsia="Arial" w:hAnsi="Arial"/>
          <w:color w:val="1F2937"/>
          <w:sz w:val="22"/>
          <w:szCs w:val="22"/>
        </w:rPr>
        <w:t xml:space="preserve">Adaptation type (RA, SA)</w:t>
      </w:r>
    </w:p>
    <w:p>
      <w:pPr>
        <w:pStyle w:val="ListParagraph"/>
        <w:numPr>
          <w:ilvl w:val="0"/>
          <w:numId w:val="2"/>
        </w:numPr>
        <w:spacing w:after="40" w:before="40"/>
      </w:pPr>
      <w:r>
        <w:rPr>
          <w:rFonts w:ascii="Arial" w:cs="Arial" w:eastAsia="Arial" w:hAnsi="Arial"/>
          <w:color w:val="1F2937"/>
          <w:sz w:val="22"/>
          <w:szCs w:val="22"/>
        </w:rPr>
        <w:t xml:space="preserve">Axon type (Aβ, Aδ, C fiber)</w:t>
      </w:r>
    </w:p>
    <w:p>
      <w:pPr>
        <w:pStyle w:val="ListParagraph"/>
        <w:numPr>
          <w:ilvl w:val="0"/>
          <w:numId w:val="2"/>
        </w:numPr>
        <w:spacing w:after="40" w:before="40"/>
      </w:pPr>
      <w:r>
        <w:rPr>
          <w:rFonts w:ascii="Arial" w:cs="Arial" w:eastAsia="Arial" w:hAnsi="Arial"/>
          <w:color w:val="1F2937"/>
          <w:sz w:val="22"/>
          <w:szCs w:val="22"/>
        </w:rPr>
        <w:t xml:space="preserve">Species</w:t>
      </w:r>
    </w:p>
    <w:p>
      <w:pPr>
        <w:pStyle w:val="ListParagraph"/>
        <w:numPr>
          <w:ilvl w:val="0"/>
          <w:numId w:val="2"/>
        </w:numPr>
        <w:spacing w:after="40" w:before="40"/>
      </w:pPr>
      <w:r>
        <w:rPr>
          <w:rFonts w:ascii="Arial" w:cs="Arial" w:eastAsia="Arial" w:hAnsi="Arial"/>
          <w:color w:val="1F2937"/>
          <w:sz w:val="22"/>
          <w:szCs w:val="22"/>
        </w:rPr>
        <w:t xml:space="preserve">Soma location</w:t>
      </w:r>
    </w:p>
    <w:p>
      <w:pPr>
        <w:spacing w:after="80" w:before="80"/>
      </w:pPr>
      <w:r>
        <w:rPr>
          <w:rFonts w:ascii="Arial" w:cs="Arial" w:eastAsia="Arial" w:hAnsi="Arial"/>
          <w:color w:val="1F2937"/>
          <w:sz w:val="22"/>
          <w:szCs w:val="22"/>
        </w:rPr>
        <w:t xml:space="preserve">A checkmark in a cell indicates the cell type possesses that property.</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Features</w:t>
      </w:r>
    </w:p>
    <w:p>
      <w:pPr>
        <w:pStyle w:val="ListParagraph"/>
        <w:numPr>
          <w:ilvl w:val="0"/>
          <w:numId w:val="2"/>
        </w:numPr>
        <w:spacing w:after="40" w:before="40"/>
      </w:pPr>
      <w:r>
        <w:rPr>
          <w:rFonts w:ascii="Arial" w:cs="Arial" w:eastAsia="Arial" w:hAnsi="Arial"/>
          <w:color w:val="1F2937"/>
          <w:sz w:val="22"/>
          <w:szCs w:val="22"/>
        </w:rPr>
        <w:t xml:space="preserve">Group-by options: reorganize rows by species × axon type, or species × location</w:t>
      </w:r>
    </w:p>
    <w:p>
      <w:pPr>
        <w:pStyle w:val="ListParagraph"/>
        <w:numPr>
          <w:ilvl w:val="0"/>
          <w:numId w:val="2"/>
        </w:numPr>
        <w:spacing w:after="40" w:before="40"/>
      </w:pPr>
      <w:r>
        <w:rPr>
          <w:rFonts w:ascii="Arial" w:cs="Arial" w:eastAsia="Arial" w:hAnsi="Arial"/>
          <w:color w:val="1F2937"/>
          <w:sz w:val="22"/>
          <w:szCs w:val="22"/>
        </w:rPr>
        <w:t xml:space="preserve">Sortable column headers — click any column to sort rows by that attribute</w:t>
      </w:r>
    </w:p>
    <w:p>
      <w:pPr>
        <w:pStyle w:val="ListParagraph"/>
        <w:numPr>
          <w:ilvl w:val="0"/>
          <w:numId w:val="2"/>
        </w:numPr>
        <w:spacing w:after="40" w:before="40"/>
      </w:pPr>
      <w:r>
        <w:rPr>
          <w:rFonts w:ascii="Arial" w:cs="Arial" w:eastAsia="Arial" w:hAnsi="Arial"/>
          <w:color w:val="1F2937"/>
          <w:sz w:val="22"/>
          <w:szCs w:val="22"/>
        </w:rPr>
        <w:t xml:space="preserve">Equivalence highlighting: toggle to highlight cells with cross-source equivalences (amber background)</w:t>
      </w:r>
    </w:p>
    <w:p>
      <w:pPr>
        <w:pStyle w:val="ListParagraph"/>
        <w:numPr>
          <w:ilvl w:val="0"/>
          <w:numId w:val="2"/>
        </w:numPr>
        <w:spacing w:after="40" w:before="40"/>
      </w:pPr>
      <w:r>
        <w:rPr>
          <w:rFonts w:ascii="Arial" w:cs="Arial" w:eastAsia="Arial" w:hAnsi="Arial"/>
          <w:color w:val="1F2937"/>
          <w:sz w:val="22"/>
          <w:szCs w:val="22"/>
        </w:rPr>
        <w:t xml:space="preserve">Pin a row by clicking it to keep it highlighted and see all equivalence partners</w:t>
      </w:r>
    </w:p>
    <w:p>
      <w:pPr>
        <w:spacing w:after="0" w:before="160"/>
      </w:pPr>
      <w:r>
        <w:t xml:space="preserve"/>
      </w:r>
    </w:p>
    <w:p>
      <w:pPr>
        <w:pStyle w:val="Heading2"/>
      </w:pPr>
      <w:r>
        <w:rPr>
          <w:rFonts w:ascii="Arial" w:cs="Arial" w:eastAsia="Arial" w:hAnsi="Arial"/>
          <w:b/>
          <w:bCs/>
          <w:color w:val="4F46E5"/>
          <w:sz w:val="26"/>
          <w:szCs w:val="26"/>
        </w:rPr>
        <w:t xml:space="preserve">4.4  Cluster View</w:t>
      </w:r>
    </w:p>
    <w:p>
      <w:pPr>
        <w:spacing w:after="0" w:before="60"/>
      </w:pPr>
      <w:r>
        <w:t xml:space="preserve"/>
      </w:r>
    </w:p>
    <w:p>
      <w:pPr>
        <w:spacing w:after="80" w:before="80"/>
      </w:pPr>
      <w:r>
        <w:rPr>
          <w:rFonts w:ascii="Arial" w:cs="Arial" w:eastAsia="Arial" w:hAnsi="Arial"/>
          <w:color w:val="1F2937"/>
          <w:sz w:val="22"/>
          <w:szCs w:val="22"/>
        </w:rPr>
        <w:t xml:space="preserve">Cluster View uses a D3.js force-directed simulation to display all 145 cell types as colored dots in a dynamic, interactive layout. By default, dots are colored by source publication.</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Attribute Filters</w:t>
      </w:r>
    </w:p>
    <w:p>
      <w:pPr>
        <w:spacing w:after="80" w:before="80"/>
      </w:pPr>
      <w:r>
        <w:rPr>
          <w:rFonts w:ascii="Arial" w:cs="Arial" w:eastAsia="Arial" w:hAnsi="Arial"/>
          <w:color w:val="1F2937"/>
          <w:sz w:val="22"/>
          <w:szCs w:val="22"/>
        </w:rPr>
        <w:t xml:space="preserve">Select one or more attributes to recolor and highlight cells. Attributes are organized into six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Threshold phenotype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Cold, Heat, LTM, HTM, Proprioceptive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Adaptation phenotype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 (rapidly adapting), SA (slowly adapting)</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Axon phenotype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Aβ, Aδ, C fiber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Species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Mouse, Human, Macaque, Guinea Pig</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Soma location</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DRG, Trigeminal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of the 7 publications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Marker genes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Individual genes (expandable list)</w:t>
            </w:r>
          </w:p>
        </w:tc>
      </w:tr>
    </w:tbl>
    <w:p>
      <w:pPr>
        <w:spacing w:after="0" w:before="100"/>
      </w:pPr>
      <w:r>
        <w:t xml:space="preserve"/>
      </w:r>
    </w:p>
    <w:p>
      <w:pPr>
        <w:pStyle w:val="Heading3"/>
        <w:spacing w:after="80" w:before="200"/>
      </w:pPr>
      <w:r>
        <w:rPr>
          <w:rFonts w:ascii="Arial" w:cs="Arial" w:eastAsia="Arial" w:hAnsi="Arial"/>
          <w:b/>
          <w:bCs/>
          <w:color w:val="1F2937"/>
          <w:sz w:val="24"/>
          <w:szCs w:val="24"/>
        </w:rPr>
        <w:t xml:space="preserve">Selection Behavior</w:t>
      </w:r>
    </w:p>
    <w:p>
      <w:pPr>
        <w:pStyle w:val="ListParagraph"/>
        <w:numPr>
          <w:ilvl w:val="0"/>
          <w:numId w:val="2"/>
        </w:numPr>
        <w:spacing w:after="40" w:before="40"/>
      </w:pPr>
      <w:r>
        <w:rPr>
          <w:rFonts w:ascii="Arial" w:cs="Arial" w:eastAsia="Arial" w:hAnsi="Arial"/>
          <w:color w:val="1F2937"/>
          <w:sz w:val="22"/>
          <w:szCs w:val="22"/>
        </w:rPr>
        <w:t xml:space="preserve">One attribute selected: matching cells are highlighted; non-matching cells are dimmed</w:t>
      </w:r>
    </w:p>
    <w:p>
      <w:pPr>
        <w:pStyle w:val="ListParagraph"/>
        <w:numPr>
          <w:ilvl w:val="0"/>
          <w:numId w:val="2"/>
        </w:numPr>
        <w:spacing w:after="40" w:before="40"/>
      </w:pPr>
      <w:r>
        <w:rPr>
          <w:rFonts w:ascii="Arial" w:cs="Arial" w:eastAsia="Arial" w:hAnsi="Arial"/>
          <w:color w:val="1F2937"/>
          <w:sz w:val="22"/>
          <w:szCs w:val="22"/>
        </w:rPr>
        <w:t xml:space="preserve">Two or more attributes selected: each attribute gets a distinct color; cells matching all selected attributes (intersection) glow gold</w:t>
      </w:r>
    </w:p>
    <w:p>
      <w:pPr>
        <w:pStyle w:val="ListParagraph"/>
        <w:numPr>
          <w:ilvl w:val="0"/>
          <w:numId w:val="2"/>
        </w:numPr>
        <w:spacing w:after="40" w:before="40"/>
      </w:pPr>
      <w:r>
        <w:rPr>
          <w:rFonts w:ascii="Arial" w:cs="Arial" w:eastAsia="Arial" w:hAnsi="Arial"/>
          <w:color w:val="1F2937"/>
          <w:sz w:val="22"/>
          <w:szCs w:val="22"/>
        </w:rPr>
        <w:t xml:space="preserve">The legend and statistics panel update dynamically to reflect current selections</w:t>
      </w:r>
    </w:p>
    <w:p>
      <w:pPr>
        <w:spacing w:after="0" w:before="80"/>
      </w:pPr>
      <w:r>
        <w:t xml:space="preserve"/>
      </w:r>
    </w:p>
    <w:p>
      <w:pPr>
        <w:pStyle w:val="Heading3"/>
        <w:spacing w:after="80" w:before="200"/>
      </w:pPr>
      <w:r>
        <w:rPr>
          <w:rFonts w:ascii="Arial" w:cs="Arial" w:eastAsia="Arial" w:hAnsi="Arial"/>
          <w:b/>
          <w:bCs/>
          <w:color w:val="1F2937"/>
          <w:sz w:val="24"/>
          <w:szCs w:val="24"/>
        </w:rPr>
        <w:t xml:space="preserve">Interactivity</w:t>
      </w:r>
    </w:p>
    <w:p>
      <w:pPr>
        <w:pStyle w:val="ListParagraph"/>
        <w:numPr>
          <w:ilvl w:val="0"/>
          <w:numId w:val="2"/>
        </w:numPr>
        <w:spacing w:after="40" w:before="40"/>
      </w:pPr>
      <w:r>
        <w:rPr>
          <w:rFonts w:ascii="Arial" w:cs="Arial" w:eastAsia="Arial" w:hAnsi="Arial"/>
          <w:color w:val="1F2937"/>
          <w:sz w:val="22"/>
          <w:szCs w:val="22"/>
        </w:rPr>
        <w:t xml:space="preserve">Click any dot to open its detail modal</w:t>
      </w:r>
    </w:p>
    <w:p>
      <w:pPr>
        <w:pStyle w:val="ListParagraph"/>
        <w:numPr>
          <w:ilvl w:val="0"/>
          <w:numId w:val="2"/>
        </w:numPr>
        <w:spacing w:after="40" w:before="40"/>
      </w:pPr>
      <w:r>
        <w:rPr>
          <w:rFonts w:ascii="Arial" w:cs="Arial" w:eastAsia="Arial" w:hAnsi="Arial"/>
          <w:color w:val="1F2937"/>
          <w:sz w:val="22"/>
          <w:szCs w:val="22"/>
        </w:rPr>
        <w:t xml:space="preserve">Dots can be dragged to reposition them within the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Tip: </w:t>
            </w:r>
            <w:r>
              <w:rPr>
                <w:rFonts w:ascii="Arial" w:cs="Arial" w:eastAsia="Arial" w:hAnsi="Arial"/>
                <w:color w:val="1F2937"/>
                <w:sz w:val="22"/>
                <w:szCs w:val="22"/>
              </w:rPr>
              <w:t xml:space="preserve">Use two attribute filters together to find cells at the intersection — for example, selecting 'Human' and 'C fiber' will highlight (in gold) all human C-fiber cell types, while dimming all others.</w:t>
            </w:r>
          </w:p>
        </w:tc>
      </w:tr>
    </w:tbl>
    <w:p>
      <w:pPr>
        <w:spacing w:after="0" w:before="160"/>
      </w:pPr>
      <w:r>
        <w:t xml:space="preserve"/>
      </w:r>
    </w:p>
    <w:p>
      <w:pPr>
        <w:pStyle w:val="Heading2"/>
      </w:pPr>
      <w:r>
        <w:rPr>
          <w:rFonts w:ascii="Arial" w:cs="Arial" w:eastAsia="Arial" w:hAnsi="Arial"/>
          <w:b/>
          <w:bCs/>
          <w:color w:val="4F46E5"/>
          <w:sz w:val="26"/>
          <w:szCs w:val="26"/>
        </w:rPr>
        <w:t xml:space="preserve">4.5  Lineage View</w:t>
      </w:r>
    </w:p>
    <w:p>
      <w:pPr>
        <w:spacing w:after="0" w:before="60"/>
      </w:pPr>
      <w:r>
        <w:t xml:space="preserve"/>
      </w:r>
    </w:p>
    <w:p>
      <w:pPr>
        <w:spacing w:after="80" w:before="80"/>
      </w:pPr>
      <w:r>
        <w:rPr>
          <w:rFonts w:ascii="Arial" w:cs="Arial" w:eastAsia="Arial" w:hAnsi="Arial"/>
          <w:color w:val="1F2937"/>
          <w:sz w:val="22"/>
          <w:szCs w:val="22"/>
        </w:rPr>
        <w:t xml:space="preserve">Lineage View is a four-column SVG diagram that maps the cross-source relationships between cell types across all publications. It is the best view for understanding how different nomenclatures relate to one another.</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Column 1: Master Cells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18 abstract CSA family names (e.g., DRG Pvalb neuron)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Column 2: CSA Species Variants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54 CSA paper cells grouped under their family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Column 3: Big DRG Paper</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22 cells from Bhuiyan et al. 2025, positioned by CSA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Column 4: Other 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Cells from Tavares-Ferreira, Yu, Krauter, Qi, and Kupari connected to big DRG cells</w:t>
            </w:r>
          </w:p>
        </w:tc>
      </w:tr>
    </w:tbl>
    <w:p>
      <w:pPr>
        <w:spacing w:after="0" w:before="100"/>
      </w:pPr>
      <w:r>
        <w:t xml:space="preserve"/>
      </w:r>
    </w:p>
    <w:p>
      <w:pPr>
        <w:pStyle w:val="Heading3"/>
        <w:spacing w:after="80" w:before="200"/>
      </w:pPr>
      <w:r>
        <w:rPr>
          <w:rFonts w:ascii="Arial" w:cs="Arial" w:eastAsia="Arial" w:hAnsi="Arial"/>
          <w:b/>
          <w:bCs/>
          <w:color w:val="1F2937"/>
          <w:sz w:val="24"/>
          <w:szCs w:val="24"/>
        </w:rPr>
        <w:t xml:space="preserve">Line Types</w:t>
      </w:r>
    </w:p>
    <w:p>
      <w:pPr>
        <w:pStyle w:val="ListParagraph"/>
        <w:numPr>
          <w:ilvl w:val="0"/>
          <w:numId w:val="2"/>
        </w:numPr>
        <w:spacing w:after="40" w:before="40"/>
      </w:pPr>
      <w:r>
        <w:rPr>
          <w:rFonts w:ascii="Arial" w:cs="Arial" w:eastAsia="Arial" w:hAnsi="Arial"/>
          <w:color w:val="1F2937"/>
          <w:sz w:val="22"/>
          <w:szCs w:val="22"/>
        </w:rPr>
        <w:t xml:space="preserve">Solid purple line: asserted subtype relationship (assertedSubclassOf)</w:t>
      </w:r>
    </w:p>
    <w:p>
      <w:pPr>
        <w:pStyle w:val="ListParagraph"/>
        <w:numPr>
          <w:ilvl w:val="0"/>
          <w:numId w:val="2"/>
        </w:numPr>
        <w:spacing w:after="40" w:before="40"/>
      </w:pPr>
      <w:r>
        <w:rPr>
          <w:rFonts w:ascii="Arial" w:cs="Arial" w:eastAsia="Arial" w:hAnsi="Arial"/>
          <w:color w:val="1F2937"/>
          <w:sz w:val="22"/>
          <w:szCs w:val="22"/>
        </w:rPr>
        <w:t xml:space="preserve">Red double line: asserted equivalence (mapsTo)</w:t>
      </w:r>
    </w:p>
    <w:p>
      <w:pPr>
        <w:pStyle w:val="ListParagraph"/>
        <w:numPr>
          <w:ilvl w:val="0"/>
          <w:numId w:val="2"/>
        </w:numPr>
        <w:spacing w:after="40" w:before="40"/>
      </w:pPr>
      <w:r>
        <w:rPr>
          <w:rFonts w:ascii="Arial" w:cs="Arial" w:eastAsia="Arial" w:hAnsi="Arial"/>
          <w:color w:val="1F2937"/>
          <w:sz w:val="22"/>
          <w:szCs w:val="22"/>
        </w:rPr>
        <w:t xml:space="preserve">Solid blue line: family membership (column 1 to column 2)</w:t>
      </w:r>
    </w:p>
    <w:p>
      <w:pPr>
        <w:spacing w:after="0" w:before="100"/>
      </w:pPr>
      <w:r>
        <w:t xml:space="preserve"/>
      </w:r>
    </w:p>
    <w:p>
      <w:pPr>
        <w:pStyle w:val="Heading3"/>
        <w:spacing w:after="80" w:before="200"/>
      </w:pPr>
      <w:r>
        <w:rPr>
          <w:rFonts w:ascii="Arial" w:cs="Arial" w:eastAsia="Arial" w:hAnsi="Arial"/>
          <w:b/>
          <w:bCs/>
          <w:color w:val="1F2937"/>
          <w:sz w:val="24"/>
          <w:szCs w:val="24"/>
        </w:rPr>
        <w:t xml:space="preserve">Interactivity</w:t>
      </w:r>
    </w:p>
    <w:p>
      <w:pPr>
        <w:pStyle w:val="ListParagraph"/>
        <w:numPr>
          <w:ilvl w:val="0"/>
          <w:numId w:val="2"/>
        </w:numPr>
        <w:spacing w:after="40" w:before="40"/>
      </w:pPr>
      <w:r>
        <w:rPr>
          <w:rFonts w:ascii="Arial" w:cs="Arial" w:eastAsia="Arial" w:hAnsi="Arial"/>
          <w:color w:val="1F2937"/>
          <w:sz w:val="22"/>
          <w:szCs w:val="22"/>
        </w:rPr>
        <w:t xml:space="preserve">Click any cell node to open its detail modal</w:t>
      </w:r>
    </w:p>
    <w:p>
      <w:pPr>
        <w:pStyle w:val="ListParagraph"/>
        <w:numPr>
          <w:ilvl w:val="0"/>
          <w:numId w:val="2"/>
        </w:numPr>
        <w:spacing w:after="40" w:before="40"/>
      </w:pPr>
      <w:r>
        <w:rPr>
          <w:rFonts w:ascii="Arial" w:cs="Arial" w:eastAsia="Arial" w:hAnsi="Arial"/>
          <w:color w:val="1F2937"/>
          <w:sz w:val="22"/>
          <w:szCs w:val="22"/>
        </w:rPr>
        <w:t xml:space="preserve">Hover over any node for a tooltip showing the full cell name and source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Note: </w:t>
            </w:r>
            <w:r>
              <w:rPr>
                <w:rFonts w:ascii="Arial" w:cs="Arial" w:eastAsia="Arial" w:hAnsi="Arial"/>
                <w:color w:val="1F2937"/>
                <w:sz w:val="22"/>
                <w:szCs w:val="22"/>
              </w:rPr>
              <w:t xml:space="preserve">Cells that connect to big DRG cells across multiple family groups are duplicated into each relevant group to minimize confusing line crossings. Cross-group connections are shown as curved arcs on the right edge at reduced opacity.</w:t>
            </w:r>
          </w:p>
        </w:tc>
      </w:tr>
    </w:tbl>
    <w:p>
      <w:pPr>
        <w:spacing w:after="0" w:before="160"/>
      </w:pPr>
      <w:r>
        <w:t xml:space="preserve"/>
      </w:r>
    </w:p>
    <w:p>
      <w:pPr>
        <w:pStyle w:val="Heading2"/>
      </w:pPr>
      <w:r>
        <w:rPr>
          <w:rFonts w:ascii="Arial" w:cs="Arial" w:eastAsia="Arial" w:hAnsi="Arial"/>
          <w:b/>
          <w:bCs/>
          <w:color w:val="4F46E5"/>
          <w:sz w:val="26"/>
          <w:szCs w:val="26"/>
        </w:rPr>
        <w:t xml:space="preserve">4.6  Compare View</w:t>
      </w:r>
    </w:p>
    <w:p>
      <w:pPr>
        <w:spacing w:after="0" w:before="60"/>
      </w:pPr>
      <w:r>
        <w:t xml:space="preserve"/>
      </w:r>
    </w:p>
    <w:p>
      <w:pPr>
        <w:spacing w:after="80" w:before="80"/>
      </w:pPr>
      <w:r>
        <w:rPr>
          <w:rFonts w:ascii="Arial" w:cs="Arial" w:eastAsia="Arial" w:hAnsi="Arial"/>
          <w:color w:val="1F2937"/>
          <w:sz w:val="22"/>
          <w:szCs w:val="22"/>
        </w:rPr>
        <w:t xml:space="preserve">Compare View allows side-by-side comparison of two or more cell types, making it easy to examine differences and similarities in their phenotypic profiles, marker genes, and relationships.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Draft note: </w:t>
            </w:r>
            <w:r>
              <w:rPr>
                <w:rFonts w:ascii="Arial" w:cs="Arial" w:eastAsia="Arial" w:hAnsi="Arial"/>
                <w:color w:val="1F2937"/>
                <w:sz w:val="22"/>
                <w:szCs w:val="22"/>
              </w:rPr>
              <w:t xml:space="preserve">Detailed Compare View behavior will be confirmed during review — functionality should be verified against the current application build.</w:t>
            </w:r>
          </w:p>
        </w:tc>
      </w:tr>
    </w:tbl>
    <w:p>
      <w:r>
        <w:br w:type="page"/>
      </w:r>
    </w:p>
    <w:p>
      <w:pPr>
        <w:pStyle w:val="Heading1"/>
      </w:pPr>
      <w:r>
        <w:rPr>
          <w:rFonts w:ascii="Arial" w:cs="Arial" w:eastAsia="Arial" w:hAnsi="Arial"/>
          <w:b/>
          <w:bCs/>
          <w:color w:val="1F2937"/>
          <w:sz w:val="32"/>
          <w:szCs w:val="32"/>
        </w:rPr>
        <w:t xml:space="preserve">5. Data Sources</w:t>
      </w:r>
    </w:p>
    <w:p>
      <w:pPr>
        <w:spacing w:after="0" w:before="60"/>
      </w:pPr>
      <w:r>
        <w:t xml:space="preserve"/>
      </w:r>
    </w:p>
    <w:p>
      <w:pPr>
        <w:spacing w:after="80" w:before="80"/>
      </w:pPr>
      <w:r>
        <w:rPr>
          <w:rFonts w:ascii="Arial" w:cs="Arial" w:eastAsia="Arial" w:hAnsi="Arial"/>
          <w:color w:val="1F2937"/>
          <w:sz w:val="22"/>
          <w:szCs w:val="22"/>
        </w:rPr>
        <w:t xml:space="preserve">NervoSensus ships with 145 somatosensory neuron cell types drawn from seven peer-reviewed publications. These are embedded directly in the application and are available immediately without any external connection.</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Publication</w:t>
            </w:r>
          </w:p>
        </w:tc>
        <w:tc>
          <w:tcPr>
            <w:tcW w:type="dxa" w:w="1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Cell Types</w:t>
            </w:r>
          </w:p>
        </w:tc>
        <w:tc>
          <w:tcPr>
            <w:tcW w:type="dxa" w:w="1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CSA paper (Bhuiyan et al.)</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54</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Purple</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Foundational cross-species atlas; defines 18 master cell type families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Big DRG paper (Bhuiyan et al.,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Extended DRG dataset with subtype relationships to CSA cells</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Krauter et al., 2025</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22</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Violet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Independent characterization with cross-nomenclature equivalences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Qi et al., 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Cyan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Additional cell types with mapped equivalences</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Yu et al., 2024</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16</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Further somatosensory neuron characterization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Tavares-Ferreira et al., 2022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Human-focused dataset</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Kupari et al., 2021</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Pink</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Earlier reference dataset</w:t>
            </w:r>
          </w:p>
        </w:tc>
      </w:tr>
    </w:tbl>
    <w:p>
      <w:pPr>
        <w:spacing w:after="0" w:before="160"/>
      </w:pPr>
      <w:r>
        <w:t xml:space="preserve"/>
      </w:r>
    </w:p>
    <w:p>
      <w:pPr>
        <w:pStyle w:val="Heading2"/>
        <w:spacing w:after="100" w:before="280"/>
      </w:pPr>
      <w:r>
        <w:rPr>
          <w:rFonts w:ascii="Arial" w:cs="Arial" w:eastAsia="Arial" w:hAnsi="Arial"/>
          <w:b/>
          <w:bCs/>
          <w:color w:val="4F46E5"/>
          <w:sz w:val="26"/>
          <w:szCs w:val="26"/>
        </w:rPr>
        <w:t xml:space="preserve">Species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Number of Cell Types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Human</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63 cell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Mouse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57 cell types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Macaque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15 cell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Guinea Pig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 cell types</w:t>
            </w:r>
          </w:p>
        </w:tc>
      </w:tr>
    </w:tbl>
    <w:p>
      <w:pPr>
        <w:spacing w:after="0" w:before="160"/>
      </w:pPr>
      <w:r>
        <w:t xml:space="preserve"/>
      </w:r>
    </w:p>
    <w:p>
      <w:pPr>
        <w:pStyle w:val="Heading2"/>
        <w:spacing w:after="100" w:before="280"/>
      </w:pPr>
      <w:r>
        <w:rPr>
          <w:rFonts w:ascii="Arial" w:cs="Arial" w:eastAsia="Arial" w:hAnsi="Arial"/>
          <w:b/>
          <w:bCs/>
          <w:color w:val="4F46E5"/>
          <w:sz w:val="26"/>
          <w:szCs w:val="26"/>
        </w:rPr>
        <w:t xml:space="preserve">Soma Locations</w:t>
      </w:r>
    </w:p>
    <w:p>
      <w:pPr>
        <w:spacing w:after="80" w:before="80"/>
      </w:pPr>
      <w:r>
        <w:rPr>
          <w:rFonts w:ascii="Arial" w:cs="Arial" w:eastAsia="Arial" w:hAnsi="Arial"/>
          <w:color w:val="1F2937"/>
          <w:sz w:val="22"/>
          <w:szCs w:val="22"/>
        </w:rPr>
        <w:t xml:space="preserve">All 145 cell types are associated with the dorsal root ganglion (DRG). Of these, 47 are also found in the trigeminal ganglion (TG).</w:t>
      </w:r>
    </w:p>
    <w:p>
      <w:pPr>
        <w:spacing w:after="0" w:before="160"/>
      </w:pPr>
      <w:r>
        <w:t xml:space="preserve"/>
      </w:r>
    </w:p>
    <w:p>
      <w:pPr>
        <w:pStyle w:val="Heading2"/>
        <w:spacing w:after="100" w:before="280"/>
      </w:pPr>
      <w:r>
        <w:rPr>
          <w:rFonts w:ascii="Arial" w:cs="Arial" w:eastAsia="Arial" w:hAnsi="Arial"/>
          <w:b/>
          <w:bCs/>
          <w:color w:val="4F46E5"/>
          <w:sz w:val="26"/>
          <w:szCs w:val="26"/>
        </w:rPr>
        <w:t xml:space="preserve">Cell Type Families</w:t>
      </w:r>
    </w:p>
    <w:p>
      <w:pPr>
        <w:spacing w:after="80" w:before="80"/>
      </w:pPr>
      <w:r>
        <w:rPr>
          <w:rFonts w:ascii="Arial" w:cs="Arial" w:eastAsia="Arial" w:hAnsi="Arial"/>
          <w:color w:val="1F2937"/>
          <w:sz w:val="22"/>
          <w:szCs w:val="22"/>
        </w:rPr>
        <w:t xml:space="preserve">The CSA paper defines 18 master cell type families. Each family may have species variants across mouse, human, macaque, and guinea pig depending on data availability. Examples include:</w:t>
      </w:r>
    </w:p>
    <w:p>
      <w:pPr>
        <w:pStyle w:val="ListParagraph"/>
        <w:numPr>
          <w:ilvl w:val="0"/>
          <w:numId w:val="2"/>
        </w:numPr>
        <w:spacing w:after="40" w:before="40"/>
      </w:pPr>
      <w:r>
        <w:rPr>
          <w:rFonts w:ascii="Arial" w:cs="Arial" w:eastAsia="Arial" w:hAnsi="Arial"/>
          <w:color w:val="1F2937"/>
          <w:sz w:val="22"/>
          <w:szCs w:val="22"/>
        </w:rPr>
        <w:t xml:space="preserve">DRG Pvalb neuron — 4 species variants</w:t>
      </w:r>
    </w:p>
    <w:p>
      <w:pPr>
        <w:pStyle w:val="ListParagraph"/>
        <w:numPr>
          <w:ilvl w:val="0"/>
          <w:numId w:val="2"/>
        </w:numPr>
        <w:spacing w:after="40" w:before="40"/>
      </w:pPr>
      <w:r>
        <w:rPr>
          <w:rFonts w:ascii="Arial" w:cs="Arial" w:eastAsia="Arial" w:hAnsi="Arial"/>
          <w:color w:val="1F2937"/>
          <w:sz w:val="22"/>
          <w:szCs w:val="22"/>
        </w:rPr>
        <w:t xml:space="preserve">DRG TG Trpm8 neuron — 4 species variants</w:t>
      </w:r>
    </w:p>
    <w:p>
      <w:pPr>
        <w:pStyle w:val="ListParagraph"/>
        <w:numPr>
          <w:ilvl w:val="0"/>
          <w:numId w:val="2"/>
        </w:numPr>
        <w:spacing w:after="40" w:before="40"/>
      </w:pPr>
      <w:r>
        <w:rPr>
          <w:rFonts w:ascii="Arial" w:cs="Arial" w:eastAsia="Arial" w:hAnsi="Arial"/>
          <w:color w:val="1F2937"/>
          <w:sz w:val="22"/>
          <w:szCs w:val="22"/>
        </w:rPr>
        <w:t xml:space="preserve">DRG TG Calca+Smr2 neuron — 4 species variants</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Per-Cell Data Fields</w:t>
      </w:r>
    </w:p>
    <w:p>
      <w:pPr>
        <w:spacing w:after="80" w:before="80"/>
      </w:pPr>
      <w:r>
        <w:rPr>
          <w:rFonts w:ascii="Arial" w:cs="Arial" w:eastAsia="Arial" w:hAnsi="Arial"/>
          <w:color w:val="1F2937"/>
          <w:sz w:val="22"/>
          <w:szCs w:val="22"/>
        </w:rPr>
        <w:t xml:space="preserve">Each cell type record contains the following information:</w:t>
      </w:r>
    </w:p>
    <w:p>
      <w:pPr>
        <w:pStyle w:val="ListParagraph"/>
        <w:numPr>
          <w:ilvl w:val="0"/>
          <w:numId w:val="2"/>
        </w:numPr>
        <w:spacing w:after="40" w:before="40"/>
      </w:pPr>
      <w:r>
        <w:rPr>
          <w:rFonts w:ascii="Arial" w:cs="Arial" w:eastAsia="Arial" w:hAnsi="Arial"/>
          <w:color w:val="1F2937"/>
          <w:sz w:val="22"/>
          <w:szCs w:val="22"/>
        </w:rPr>
        <w:t xml:space="preserve">Preferred label (display name)</w:t>
      </w:r>
    </w:p>
    <w:p>
      <w:pPr>
        <w:pStyle w:val="ListParagraph"/>
        <w:numPr>
          <w:ilvl w:val="0"/>
          <w:numId w:val="2"/>
        </w:numPr>
        <w:spacing w:after="40" w:before="40"/>
      </w:pPr>
      <w:r>
        <w:rPr>
          <w:rFonts w:ascii="Arial" w:cs="Arial" w:eastAsia="Arial" w:hAnsi="Arial"/>
          <w:color w:val="1F2937"/>
          <w:sz w:val="22"/>
          <w:szCs w:val="22"/>
        </w:rPr>
        <w:t xml:space="preserve">Entity ID (unique identifier)</w:t>
      </w:r>
    </w:p>
    <w:p>
      <w:pPr>
        <w:pStyle w:val="ListParagraph"/>
        <w:numPr>
          <w:ilvl w:val="0"/>
          <w:numId w:val="2"/>
        </w:numPr>
        <w:spacing w:after="40" w:before="40"/>
      </w:pPr>
      <w:r>
        <w:rPr>
          <w:rFonts w:ascii="Arial" w:cs="Arial" w:eastAsia="Arial" w:hAnsi="Arial"/>
          <w:color w:val="1F2937"/>
          <w:sz w:val="22"/>
          <w:szCs w:val="22"/>
        </w:rPr>
        <w:t xml:space="preserve">Species</w:t>
      </w:r>
    </w:p>
    <w:p>
      <w:pPr>
        <w:pStyle w:val="ListParagraph"/>
        <w:numPr>
          <w:ilvl w:val="0"/>
          <w:numId w:val="2"/>
        </w:numPr>
        <w:spacing w:after="40" w:before="40"/>
      </w:pPr>
      <w:r>
        <w:rPr>
          <w:rFonts w:ascii="Arial" w:cs="Arial" w:eastAsia="Arial" w:hAnsi="Arial"/>
          <w:color w:val="1F2937"/>
          <w:sz w:val="22"/>
          <w:szCs w:val="22"/>
        </w:rPr>
        <w:t xml:space="preserve">Soma location(s)</w:t>
      </w:r>
    </w:p>
    <w:p>
      <w:pPr>
        <w:pStyle w:val="ListParagraph"/>
        <w:numPr>
          <w:ilvl w:val="0"/>
          <w:numId w:val="2"/>
        </w:numPr>
        <w:spacing w:after="40" w:before="40"/>
      </w:pPr>
      <w:r>
        <w:rPr>
          <w:rFonts w:ascii="Arial" w:cs="Arial" w:eastAsia="Arial" w:hAnsi="Arial"/>
          <w:color w:val="1F2937"/>
          <w:sz w:val="22"/>
          <w:szCs w:val="22"/>
        </w:rPr>
        <w:t xml:space="preserve">Circuit role</w:t>
      </w:r>
    </w:p>
    <w:p>
      <w:pPr>
        <w:pStyle w:val="ListParagraph"/>
        <w:numPr>
          <w:ilvl w:val="0"/>
          <w:numId w:val="2"/>
        </w:numPr>
        <w:spacing w:after="40" w:before="40"/>
      </w:pPr>
      <w:r>
        <w:rPr>
          <w:rFonts w:ascii="Arial" w:cs="Arial" w:eastAsia="Arial" w:hAnsi="Arial"/>
          <w:color w:val="1F2937"/>
          <w:sz w:val="22"/>
          <w:szCs w:val="22"/>
        </w:rPr>
        <w:t xml:space="preserve">Neurotransmitter</w:t>
      </w:r>
    </w:p>
    <w:p>
      <w:pPr>
        <w:pStyle w:val="ListParagraph"/>
        <w:numPr>
          <w:ilvl w:val="0"/>
          <w:numId w:val="2"/>
        </w:numPr>
        <w:spacing w:after="40" w:before="40"/>
      </w:pPr>
      <w:r>
        <w:rPr>
          <w:rFonts w:ascii="Arial" w:cs="Arial" w:eastAsia="Arial" w:hAnsi="Arial"/>
          <w:color w:val="1F2937"/>
          <w:sz w:val="22"/>
          <w:szCs w:val="22"/>
        </w:rPr>
        <w:t xml:space="preserve">Cre line</w:t>
      </w:r>
    </w:p>
    <w:p>
      <w:pPr>
        <w:pStyle w:val="ListParagraph"/>
        <w:numPr>
          <w:ilvl w:val="0"/>
          <w:numId w:val="2"/>
        </w:numPr>
        <w:spacing w:after="40" w:before="40"/>
      </w:pPr>
      <w:r>
        <w:rPr>
          <w:rFonts w:ascii="Arial" w:cs="Arial" w:eastAsia="Arial" w:hAnsi="Arial"/>
          <w:color w:val="1F2937"/>
          <w:sz w:val="22"/>
          <w:szCs w:val="22"/>
        </w:rPr>
        <w:t xml:space="preserve">Marker gene expression string</w:t>
      </w:r>
    </w:p>
    <w:p>
      <w:pPr>
        <w:pStyle w:val="ListParagraph"/>
        <w:numPr>
          <w:ilvl w:val="0"/>
          <w:numId w:val="2"/>
        </w:numPr>
        <w:spacing w:after="40" w:before="40"/>
      </w:pPr>
      <w:r>
        <w:rPr>
          <w:rFonts w:ascii="Arial" w:cs="Arial" w:eastAsia="Arial" w:hAnsi="Arial"/>
          <w:color w:val="1F2937"/>
          <w:sz w:val="22"/>
          <w:szCs w:val="22"/>
        </w:rPr>
        <w:t xml:space="preserve">Individual marker gene URIs (links to ontology)</w:t>
      </w:r>
    </w:p>
    <w:p>
      <w:pPr>
        <w:pStyle w:val="ListParagraph"/>
        <w:numPr>
          <w:ilvl w:val="0"/>
          <w:numId w:val="2"/>
        </w:numPr>
        <w:spacing w:after="40" w:before="40"/>
      </w:pPr>
      <w:r>
        <w:rPr>
          <w:rFonts w:ascii="Arial" w:cs="Arial" w:eastAsia="Arial" w:hAnsi="Arial"/>
          <w:color w:val="1F2937"/>
          <w:sz w:val="22"/>
          <w:szCs w:val="22"/>
        </w:rPr>
        <w:t xml:space="preserve">Axon/fiber type phenotype</w:t>
      </w:r>
    </w:p>
    <w:p>
      <w:pPr>
        <w:pStyle w:val="ListParagraph"/>
        <w:numPr>
          <w:ilvl w:val="0"/>
          <w:numId w:val="2"/>
        </w:numPr>
        <w:spacing w:after="40" w:before="40"/>
      </w:pPr>
      <w:r>
        <w:rPr>
          <w:rFonts w:ascii="Arial" w:cs="Arial" w:eastAsia="Arial" w:hAnsi="Arial"/>
          <w:color w:val="1F2937"/>
          <w:sz w:val="22"/>
          <w:szCs w:val="22"/>
        </w:rPr>
        <w:t xml:space="preserve">Physiology string</w:t>
      </w:r>
    </w:p>
    <w:p>
      <w:pPr>
        <w:pStyle w:val="ListParagraph"/>
        <w:numPr>
          <w:ilvl w:val="0"/>
          <w:numId w:val="2"/>
        </w:numPr>
        <w:spacing w:after="40" w:before="40"/>
      </w:pPr>
      <w:r>
        <w:rPr>
          <w:rFonts w:ascii="Arial" w:cs="Arial" w:eastAsia="Arial" w:hAnsi="Arial"/>
          <w:color w:val="1F2937"/>
          <w:sz w:val="22"/>
          <w:szCs w:val="22"/>
        </w:rPr>
        <w:t xml:space="preserve">Source publication DOI</w:t>
      </w:r>
    </w:p>
    <w:p>
      <w:pPr>
        <w:pStyle w:val="ListParagraph"/>
        <w:numPr>
          <w:ilvl w:val="0"/>
          <w:numId w:val="2"/>
        </w:numPr>
        <w:spacing w:after="40" w:before="40"/>
      </w:pPr>
      <w:r>
        <w:rPr>
          <w:rFonts w:ascii="Arial" w:cs="Arial" w:eastAsia="Arial" w:hAnsi="Arial"/>
          <w:color w:val="1F2937"/>
          <w:sz w:val="22"/>
          <w:szCs w:val="22"/>
        </w:rPr>
        <w:t xml:space="preserve">Source data links</w:t>
      </w:r>
    </w:p>
    <w:p>
      <w:pPr>
        <w:pStyle w:val="ListParagraph"/>
        <w:numPr>
          <w:ilvl w:val="0"/>
          <w:numId w:val="2"/>
        </w:numPr>
        <w:spacing w:after="40" w:before="40"/>
      </w:pPr>
      <w:r>
        <w:rPr>
          <w:rFonts w:ascii="Arial" w:cs="Arial" w:eastAsia="Arial" w:hAnsi="Arial"/>
          <w:color w:val="1F2937"/>
          <w:sz w:val="22"/>
          <w:szCs w:val="22"/>
        </w:rPr>
        <w:t xml:space="preserve">Alert notes and curator notes</w:t>
      </w:r>
    </w:p>
    <w:p>
      <w:pPr>
        <w:pStyle w:val="ListParagraph"/>
        <w:numPr>
          <w:ilvl w:val="0"/>
          <w:numId w:val="2"/>
        </w:numPr>
        <w:spacing w:after="40" w:before="40"/>
      </w:pPr>
      <w:r>
        <w:rPr>
          <w:rFonts w:ascii="Arial" w:cs="Arial" w:eastAsia="Arial" w:hAnsi="Arial"/>
          <w:color w:val="1F2937"/>
          <w:sz w:val="22"/>
          <w:szCs w:val="22"/>
        </w:rPr>
        <w:t xml:space="preserve">Related species variants</w:t>
      </w:r>
    </w:p>
    <w:p>
      <w:pPr>
        <w:pStyle w:val="ListParagraph"/>
        <w:numPr>
          <w:ilvl w:val="0"/>
          <w:numId w:val="2"/>
        </w:numPr>
        <w:spacing w:after="40" w:before="40"/>
      </w:pPr>
      <w:r>
        <w:rPr>
          <w:rFonts w:ascii="Arial" w:cs="Arial" w:eastAsia="Arial" w:hAnsi="Arial"/>
          <w:color w:val="1F2937"/>
          <w:sz w:val="22"/>
          <w:szCs w:val="22"/>
        </w:rPr>
        <w:t xml:space="preserve">Asserted subclass-of relationships</w:t>
      </w:r>
    </w:p>
    <w:p>
      <w:pPr>
        <w:pStyle w:val="ListParagraph"/>
        <w:numPr>
          <w:ilvl w:val="0"/>
          <w:numId w:val="2"/>
        </w:numPr>
        <w:spacing w:after="40" w:before="40"/>
      </w:pPr>
      <w:r>
        <w:rPr>
          <w:rFonts w:ascii="Arial" w:cs="Arial" w:eastAsia="Arial" w:hAnsi="Arial"/>
          <w:color w:val="1F2937"/>
          <w:sz w:val="22"/>
          <w:szCs w:val="22"/>
        </w:rPr>
        <w:t xml:space="preserve">Maps-to (equivalence) relationships</w:t>
      </w:r>
    </w:p>
    <w:p>
      <w:r>
        <w:br w:type="page"/>
      </w:r>
    </w:p>
    <w:p>
      <w:pPr>
        <w:pStyle w:val="Heading1"/>
      </w:pPr>
      <w:r>
        <w:rPr>
          <w:rFonts w:ascii="Arial" w:cs="Arial" w:eastAsia="Arial" w:hAnsi="Arial"/>
          <w:b/>
          <w:bCs/>
          <w:color w:val="1F2937"/>
          <w:sz w:val="32"/>
          <w:szCs w:val="32"/>
        </w:rPr>
        <w:t xml:space="preserve">6. Loading Your Own Data</w:t>
      </w:r>
    </w:p>
    <w:p>
      <w:pPr>
        <w:spacing w:after="0" w:before="60"/>
      </w:pPr>
      <w:r>
        <w:t xml:space="preserve"/>
      </w:r>
    </w:p>
    <w:p>
      <w:pPr>
        <w:spacing w:after="80" w:before="80"/>
      </w:pPr>
      <w:r>
        <w:rPr>
          <w:rFonts w:ascii="Arial" w:cs="Arial" w:eastAsia="Arial" w:hAnsi="Arial"/>
          <w:color w:val="1F2937"/>
          <w:sz w:val="22"/>
          <w:szCs w:val="22"/>
        </w:rPr>
        <w:t xml:space="preserve">In addition to the embedded default dataset, NervoSensus can load external data files. This allows you to work with custom datasets, updated versions of the data, or your own cell type records.</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Supported File Formats</w:t>
      </w:r>
    </w:p>
    <w:p>
      <w:pPr>
        <w:pStyle w:val="ListParagraph"/>
        <w:numPr>
          <w:ilvl w:val="0"/>
          <w:numId w:val="2"/>
        </w:numPr>
        <w:spacing w:after="40" w:before="40"/>
      </w:pPr>
      <w:r>
        <w:rPr>
          <w:rFonts w:ascii="Arial" w:cs="Arial" w:eastAsia="Arial" w:hAnsi="Arial"/>
          <w:color w:val="1F2937"/>
          <w:sz w:val="22"/>
          <w:szCs w:val="22"/>
        </w:rPr>
        <w:t xml:space="preserve">Excel (.xlsx) — Parsed using the SheetJS library. Columns should map to cell type fields (preferred label, entity ID, species, gene expression, etc.)</w:t>
      </w:r>
    </w:p>
    <w:p>
      <w:pPr>
        <w:pStyle w:val="ListParagraph"/>
        <w:numPr>
          <w:ilvl w:val="0"/>
          <w:numId w:val="2"/>
        </w:numPr>
        <w:spacing w:after="40" w:before="40"/>
      </w:pPr>
      <w:r>
        <w:rPr>
          <w:rFonts w:ascii="Arial" w:cs="Arial" w:eastAsia="Arial" w:hAnsi="Arial"/>
          <w:color w:val="1F2937"/>
          <w:sz w:val="22"/>
          <w:szCs w:val="22"/>
        </w:rPr>
        <w:t xml:space="preserve">JSON — Accepts a JSON object with cells and genes arrays matching the internal data schema</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How to Load Data</w:t>
      </w:r>
    </w:p>
    <w:p>
      <w:pPr>
        <w:pStyle w:val="ListParagraph"/>
        <w:numPr>
          <w:ilvl w:val="0"/>
          <w:numId w:val="2"/>
        </w:numPr>
        <w:spacing w:after="40" w:before="40"/>
      </w:pPr>
      <w:r>
        <w:rPr>
          <w:rFonts w:ascii="Arial" w:cs="Arial" w:eastAsia="Arial" w:hAnsi="Arial"/>
          <w:color w:val="1F2937"/>
          <w:sz w:val="22"/>
          <w:szCs w:val="22"/>
        </w:rPr>
        <w:t xml:space="preserve">Click the Load Data button in the top-right corner of the header</w:t>
      </w:r>
    </w:p>
    <w:p>
      <w:pPr>
        <w:pStyle w:val="ListParagraph"/>
        <w:numPr>
          <w:ilvl w:val="0"/>
          <w:numId w:val="2"/>
        </w:numPr>
        <w:spacing w:after="40" w:before="40"/>
      </w:pPr>
      <w:r>
        <w:rPr>
          <w:rFonts w:ascii="Arial" w:cs="Arial" w:eastAsia="Arial" w:hAnsi="Arial"/>
          <w:color w:val="1F2937"/>
          <w:sz w:val="22"/>
          <w:szCs w:val="22"/>
        </w:rPr>
        <w:t xml:space="preserve">The upload dialog will open</w:t>
      </w:r>
    </w:p>
    <w:p>
      <w:pPr>
        <w:pStyle w:val="ListParagraph"/>
        <w:numPr>
          <w:ilvl w:val="0"/>
          <w:numId w:val="2"/>
        </w:numPr>
        <w:spacing w:after="40" w:before="40"/>
      </w:pPr>
      <w:r>
        <w:rPr>
          <w:rFonts w:ascii="Arial" w:cs="Arial" w:eastAsia="Arial" w:hAnsi="Arial"/>
          <w:color w:val="1F2937"/>
          <w:sz w:val="22"/>
          <w:szCs w:val="22"/>
        </w:rPr>
        <w:t xml:space="preserve">Select your .xlsx or JSON file</w:t>
      </w:r>
    </w:p>
    <w:p>
      <w:pPr>
        <w:pStyle w:val="ListParagraph"/>
        <w:numPr>
          <w:ilvl w:val="0"/>
          <w:numId w:val="2"/>
        </w:numPr>
        <w:spacing w:after="40" w:before="40"/>
      </w:pPr>
      <w:r>
        <w:rPr>
          <w:rFonts w:ascii="Arial" w:cs="Arial" w:eastAsia="Arial" w:hAnsi="Arial"/>
          <w:color w:val="1F2937"/>
          <w:sz w:val="22"/>
          <w:szCs w:val="22"/>
        </w:rPr>
        <w:t xml:space="preserve">The application will parse and load the file</w:t>
      </w:r>
    </w:p>
    <w:p>
      <w:pPr>
        <w:pStyle w:val="ListParagraph"/>
        <w:numPr>
          <w:ilvl w:val="0"/>
          <w:numId w:val="2"/>
        </w:numPr>
        <w:spacing w:after="40" w:before="40"/>
      </w:pPr>
      <w:r>
        <w:rPr>
          <w:rFonts w:ascii="Arial" w:cs="Arial" w:eastAsia="Arial" w:hAnsi="Arial"/>
          <w:color w:val="1F2937"/>
          <w:sz w:val="22"/>
          <w:szCs w:val="22"/>
        </w:rPr>
        <w:t xml:space="preserve">The data status indicator will update to reflect the new dataset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Note: </w:t>
            </w:r>
            <w:r>
              <w:rPr>
                <w:rFonts w:ascii="Arial" w:cs="Arial" w:eastAsia="Arial" w:hAnsi="Arial"/>
                <w:color w:val="1F2937"/>
                <w:sz w:val="22"/>
                <w:szCs w:val="22"/>
              </w:rPr>
              <w:t xml:space="preserve">Uploaded data replaces the default embedded data for the current session. Refreshing the page will revert to the default 145 cell types.</w:t>
            </w:r>
          </w:p>
        </w:tc>
      </w:tr>
    </w:tbl>
    <w:p>
      <w:pPr>
        <w:spacing w:after="0" w:before="120"/>
      </w:pPr>
      <w:r>
        <w:t xml:space="preserve"/>
      </w:r>
    </w:p>
    <w:p>
      <w:pPr>
        <w:pStyle w:val="Heading2"/>
        <w:spacing w:after="100" w:before="280"/>
      </w:pPr>
      <w:r>
        <w:rPr>
          <w:rFonts w:ascii="Arial" w:cs="Arial" w:eastAsia="Arial" w:hAnsi="Arial"/>
          <w:b/>
          <w:bCs/>
          <w:color w:val="4F46E5"/>
          <w:sz w:val="26"/>
          <w:szCs w:val="26"/>
        </w:rPr>
        <w:t xml:space="preserve">Data Schema</w:t>
      </w:r>
    </w:p>
    <w:p>
      <w:pPr>
        <w:spacing w:after="80" w:before="80"/>
      </w:pPr>
      <w:r>
        <w:rPr>
          <w:rFonts w:ascii="Arial" w:cs="Arial" w:eastAsia="Arial" w:hAnsi="Arial"/>
          <w:color w:val="1F2937"/>
          <w:sz w:val="22"/>
          <w:szCs w:val="22"/>
        </w:rPr>
        <w:t xml:space="preserve">For JSON uploads, the file should contain an object with two top-level arrays:</w:t>
      </w:r>
    </w:p>
    <w:p>
      <w:pPr>
        <w:pStyle w:val="ListParagraph"/>
        <w:numPr>
          <w:ilvl w:val="0"/>
          <w:numId w:val="2"/>
        </w:numPr>
        <w:spacing w:after="40" w:before="40"/>
      </w:pPr>
      <w:r>
        <w:rPr>
          <w:rFonts w:ascii="Arial" w:cs="Arial" w:eastAsia="Arial" w:hAnsi="Arial"/>
          <w:color w:val="1F2937"/>
          <w:sz w:val="22"/>
          <w:szCs w:val="22"/>
        </w:rPr>
        <w:t xml:space="preserve">cells — an array of cell type objects, each with fields matching the per-cell data fields listed in Section 5</w:t>
      </w:r>
    </w:p>
    <w:p>
      <w:pPr>
        <w:pStyle w:val="ListParagraph"/>
        <w:numPr>
          <w:ilvl w:val="0"/>
          <w:numId w:val="2"/>
        </w:numPr>
        <w:spacing w:after="40" w:before="40"/>
      </w:pPr>
      <w:r>
        <w:rPr>
          <w:rFonts w:ascii="Arial" w:cs="Arial" w:eastAsia="Arial" w:hAnsi="Arial"/>
          <w:color w:val="1F2937"/>
          <w:sz w:val="22"/>
          <w:szCs w:val="22"/>
        </w:rPr>
        <w:t xml:space="preserve">genes — an array of gene objects used for marker gene lookups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Draft note: </w:t>
            </w:r>
            <w:r>
              <w:rPr>
                <w:rFonts w:ascii="Arial" w:cs="Arial" w:eastAsia="Arial" w:hAnsi="Arial"/>
                <w:color w:val="1F2937"/>
                <w:sz w:val="22"/>
                <w:szCs w:val="22"/>
              </w:rPr>
              <w:t xml:space="preserve">A detailed column mapping reference for Excel uploads will be added once confirmed. Please verify expected column headers against the current application.</w:t>
            </w:r>
          </w:p>
        </w:tc>
      </w:tr>
    </w:tbl>
    <w:p>
      <w:r>
        <w:br w:type="page"/>
      </w:r>
    </w:p>
    <w:p>
      <w:pPr>
        <w:pStyle w:val="Heading1"/>
      </w:pPr>
      <w:r>
        <w:rPr>
          <w:rFonts w:ascii="Arial" w:cs="Arial" w:eastAsia="Arial" w:hAnsi="Arial"/>
          <w:b/>
          <w:bCs/>
          <w:color w:val="1F2937"/>
          <w:sz w:val="32"/>
          <w:szCs w:val="32"/>
        </w:rPr>
        <w:t xml:space="preserve">7. Understanding Relationships</w:t>
      </w:r>
    </w:p>
    <w:p>
      <w:pPr>
        <w:spacing w:after="0" w:before="60"/>
      </w:pPr>
      <w:r>
        <w:t xml:space="preserve"/>
      </w:r>
    </w:p>
    <w:p>
      <w:pPr>
        <w:spacing w:after="80" w:before="80"/>
      </w:pPr>
      <w:r>
        <w:rPr>
          <w:rFonts w:ascii="Arial" w:cs="Arial" w:eastAsia="Arial" w:hAnsi="Arial"/>
          <w:color w:val="1F2937"/>
          <w:sz w:val="22"/>
          <w:szCs w:val="22"/>
        </w:rPr>
        <w:t xml:space="preserve">One of the core features of NervoSensus is its ability to represent and navigate the relationships between cell types across different studies and nomenclatures. Two types of relationships are supported:</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Asserted Equivalence (mapsTo)</w:t>
      </w:r>
    </w:p>
    <w:p>
      <w:pPr>
        <w:spacing w:after="80" w:before="80"/>
      </w:pPr>
      <w:r>
        <w:rPr>
          <w:rFonts w:ascii="Arial" w:cs="Arial" w:eastAsia="Arial" w:hAnsi="Arial"/>
          <w:color w:val="1F2937"/>
          <w:sz w:val="22"/>
          <w:szCs w:val="22"/>
        </w:rPr>
        <w:t xml:space="preserve">An equivalence relationship declares that a cell type from one publication is considered equivalent to a cell type from another publication. This is the primary mechanism for linking cells across different nomenclatures.</w:t>
      </w:r>
    </w:p>
    <w:p>
      <w:pPr>
        <w:spacing w:after="0" w:before="80"/>
      </w:pPr>
      <w:r>
        <w:t xml:space="preserve"/>
      </w:r>
    </w:p>
    <w:p>
      <w:pPr>
        <w:pStyle w:val="ListParagraph"/>
        <w:numPr>
          <w:ilvl w:val="0"/>
          <w:numId w:val="2"/>
        </w:numPr>
        <w:spacing w:after="40" w:before="40"/>
      </w:pPr>
      <w:r>
        <w:rPr>
          <w:rFonts w:ascii="Arial" w:cs="Arial" w:eastAsia="Arial" w:hAnsi="Arial"/>
          <w:color w:val="1F2937"/>
          <w:sz w:val="22"/>
          <w:szCs w:val="22"/>
        </w:rPr>
        <w:t xml:space="preserve">Displayed as a red double line in Lineage View</w:t>
      </w:r>
    </w:p>
    <w:p>
      <w:pPr>
        <w:pStyle w:val="ListParagraph"/>
        <w:numPr>
          <w:ilvl w:val="0"/>
          <w:numId w:val="2"/>
        </w:numPr>
        <w:spacing w:after="40" w:before="40"/>
      </w:pPr>
      <w:r>
        <w:rPr>
          <w:rFonts w:ascii="Arial" w:cs="Arial" w:eastAsia="Arial" w:hAnsi="Arial"/>
          <w:color w:val="1F2937"/>
          <w:sz w:val="22"/>
          <w:szCs w:val="22"/>
        </w:rPr>
        <w:t xml:space="preserve">Shown as clickable buttons in the detail modal</w:t>
      </w:r>
    </w:p>
    <w:p>
      <w:pPr>
        <w:pStyle w:val="ListParagraph"/>
        <w:numPr>
          <w:ilvl w:val="0"/>
          <w:numId w:val="2"/>
        </w:numPr>
        <w:spacing w:after="40" w:before="40"/>
      </w:pPr>
      <w:r>
        <w:rPr>
          <w:rFonts w:ascii="Arial" w:cs="Arial" w:eastAsia="Arial" w:hAnsi="Arial"/>
          <w:color w:val="1F2937"/>
          <w:sz w:val="22"/>
          <w:szCs w:val="22"/>
        </w:rPr>
        <w:t xml:space="preserve">Cells with equivalences can be highlighted in Synthesis View (amber background)</w:t>
      </w:r>
    </w:p>
    <w:p>
      <w:pPr>
        <w:pStyle w:val="ListParagraph"/>
        <w:numPr>
          <w:ilvl w:val="0"/>
          <w:numId w:val="2"/>
        </w:numPr>
        <w:spacing w:after="40" w:before="40"/>
      </w:pPr>
      <w:r>
        <w:rPr>
          <w:rFonts w:ascii="Arial" w:cs="Arial" w:eastAsia="Arial" w:hAnsi="Arial"/>
          <w:color w:val="1F2937"/>
          <w:sz w:val="22"/>
          <w:szCs w:val="22"/>
        </w:rPr>
        <w:t xml:space="preserve">Can be filtered in Card View using the Equivalence filter</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Asserted Subtype (assertedSubclassOf)</w:t>
      </w:r>
    </w:p>
    <w:p>
      <w:pPr>
        <w:spacing w:after="80" w:before="80"/>
      </w:pPr>
      <w:r>
        <w:rPr>
          <w:rFonts w:ascii="Arial" w:cs="Arial" w:eastAsia="Arial" w:hAnsi="Arial"/>
          <w:color w:val="1F2937"/>
          <w:sz w:val="22"/>
          <w:szCs w:val="22"/>
        </w:rPr>
        <w:t xml:space="preserve">A subtype relationship declares that one cell type is a more specific subtype of another. For example, a cell from the big DRG paper may be asserted as a subtype of a CSA species variant.</w:t>
      </w:r>
    </w:p>
    <w:p>
      <w:pPr>
        <w:spacing w:after="0" w:before="80"/>
      </w:pPr>
      <w:r>
        <w:t xml:space="preserve"/>
      </w:r>
    </w:p>
    <w:p>
      <w:pPr>
        <w:pStyle w:val="ListParagraph"/>
        <w:numPr>
          <w:ilvl w:val="0"/>
          <w:numId w:val="2"/>
        </w:numPr>
        <w:spacing w:after="40" w:before="40"/>
      </w:pPr>
      <w:r>
        <w:rPr>
          <w:rFonts w:ascii="Arial" w:cs="Arial" w:eastAsia="Arial" w:hAnsi="Arial"/>
          <w:color w:val="1F2937"/>
          <w:sz w:val="22"/>
          <w:szCs w:val="22"/>
        </w:rPr>
        <w:t xml:space="preserve">Displayed as a solid purple line in Lineage View</w:t>
      </w:r>
    </w:p>
    <w:p>
      <w:pPr>
        <w:pStyle w:val="ListParagraph"/>
        <w:numPr>
          <w:ilvl w:val="0"/>
          <w:numId w:val="2"/>
        </w:numPr>
        <w:spacing w:after="40" w:before="40"/>
      </w:pPr>
      <w:r>
        <w:rPr>
          <w:rFonts w:ascii="Arial" w:cs="Arial" w:eastAsia="Arial" w:hAnsi="Arial"/>
          <w:color w:val="1F2937"/>
          <w:sz w:val="22"/>
          <w:szCs w:val="22"/>
        </w:rPr>
        <w:t xml:space="preserve">Shown as clickable buttons in the detail modal</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Navigating Relationships</w:t>
      </w:r>
    </w:p>
    <w:p>
      <w:pPr>
        <w:spacing w:after="80" w:before="80"/>
      </w:pPr>
      <w:r>
        <w:rPr>
          <w:rFonts w:ascii="Arial" w:cs="Arial" w:eastAsia="Arial" w:hAnsi="Arial"/>
          <w:color w:val="1F2937"/>
          <w:sz w:val="22"/>
          <w:szCs w:val="22"/>
        </w:rPr>
        <w:t xml:space="preserve">Relationships are interactive throughout the application:</w:t>
      </w:r>
    </w:p>
    <w:p>
      <w:pPr>
        <w:pStyle w:val="ListParagraph"/>
        <w:numPr>
          <w:ilvl w:val="0"/>
          <w:numId w:val="2"/>
        </w:numPr>
        <w:spacing w:after="40" w:before="40"/>
      </w:pPr>
      <w:r>
        <w:rPr>
          <w:rFonts w:ascii="Arial" w:cs="Arial" w:eastAsia="Arial" w:hAnsi="Arial"/>
          <w:color w:val="1F2937"/>
          <w:sz w:val="22"/>
          <w:szCs w:val="22"/>
        </w:rPr>
        <w:t xml:space="preserve">In the detail modal, equivalence and subtype buttons navigate directly to the linked cell</w:t>
      </w:r>
    </w:p>
    <w:p>
      <w:pPr>
        <w:pStyle w:val="ListParagraph"/>
        <w:numPr>
          <w:ilvl w:val="0"/>
          <w:numId w:val="2"/>
        </w:numPr>
        <w:spacing w:after="40" w:before="40"/>
      </w:pPr>
      <w:r>
        <w:rPr>
          <w:rFonts w:ascii="Arial" w:cs="Arial" w:eastAsia="Arial" w:hAnsi="Arial"/>
          <w:color w:val="1F2937"/>
          <w:sz w:val="22"/>
          <w:szCs w:val="22"/>
        </w:rPr>
        <w:t xml:space="preserve">In Lineage View, all relationship lines are visible simultaneously, allowing you to trace connections across sources</w:t>
      </w:r>
    </w:p>
    <w:p>
      <w:pPr>
        <w:pStyle w:val="ListParagraph"/>
        <w:numPr>
          <w:ilvl w:val="0"/>
          <w:numId w:val="2"/>
        </w:numPr>
        <w:spacing w:after="40" w:before="40"/>
      </w:pPr>
      <w:r>
        <w:rPr>
          <w:rFonts w:ascii="Arial" w:cs="Arial" w:eastAsia="Arial" w:hAnsi="Arial"/>
          <w:color w:val="1F2937"/>
          <w:sz w:val="22"/>
          <w:szCs w:val="22"/>
        </w:rPr>
        <w:t xml:space="preserve">In Cluster View, equivalence intersections glow gold when multiple attributes are selected</w:t>
      </w:r>
    </w:p>
    <w:p>
      <w:r>
        <w:br w:type="page"/>
      </w:r>
    </w:p>
    <w:p>
      <w:pPr>
        <w:pStyle w:val="Heading1"/>
      </w:pPr>
      <w:r>
        <w:rPr>
          <w:rFonts w:ascii="Arial" w:cs="Arial" w:eastAsia="Arial" w:hAnsi="Arial"/>
          <w:b/>
          <w:bCs/>
          <w:color w:val="1F2937"/>
          <w:sz w:val="32"/>
          <w:szCs w:val="32"/>
        </w:rPr>
        <w:t xml:space="preserve">8. Tips &amp; Workflows</w:t>
      </w:r>
    </w:p>
    <w:p>
      <w:pPr>
        <w:spacing w:after="0" w:before="60"/>
      </w:pPr>
      <w:r>
        <w:t xml:space="preserve"/>
      </w:r>
    </w:p>
    <w:p>
      <w:pPr>
        <w:pStyle w:val="Heading2"/>
        <w:spacing w:after="100" w:before="280"/>
      </w:pPr>
      <w:r>
        <w:rPr>
          <w:rFonts w:ascii="Arial" w:cs="Arial" w:eastAsia="Arial" w:hAnsi="Arial"/>
          <w:b/>
          <w:bCs/>
          <w:color w:val="4F46E5"/>
          <w:sz w:val="26"/>
          <w:szCs w:val="26"/>
        </w:rPr>
        <w:t xml:space="preserve">Finding a Specific Cell Type</w:t>
      </w:r>
    </w:p>
    <w:p>
      <w:pPr>
        <w:pStyle w:val="ListParagraph"/>
        <w:numPr>
          <w:ilvl w:val="0"/>
          <w:numId w:val="2"/>
        </w:numPr>
        <w:spacing w:after="40" w:before="40"/>
      </w:pPr>
      <w:r>
        <w:rPr>
          <w:rFonts w:ascii="Arial" w:cs="Arial" w:eastAsia="Arial" w:hAnsi="Arial"/>
          <w:color w:val="1F2937"/>
          <w:sz w:val="22"/>
          <w:szCs w:val="22"/>
        </w:rPr>
        <w:t xml:space="preserve">Use the text search in Card View to search by name, gene, or any text field</w:t>
      </w:r>
    </w:p>
    <w:p>
      <w:pPr>
        <w:pStyle w:val="ListParagraph"/>
        <w:numPr>
          <w:ilvl w:val="0"/>
          <w:numId w:val="2"/>
        </w:numPr>
        <w:spacing w:after="40" w:before="40"/>
      </w:pPr>
      <w:r>
        <w:rPr>
          <w:rFonts w:ascii="Arial" w:cs="Arial" w:eastAsia="Arial" w:hAnsi="Arial"/>
          <w:color w:val="1F2937"/>
          <w:sz w:val="22"/>
          <w:szCs w:val="22"/>
        </w:rPr>
        <w:t xml:space="preserve">Combine filters to narrow results — e.g., filter by species 'Human' and axon type 'C fiber'</w:t>
      </w:r>
    </w:p>
    <w:p>
      <w:pPr>
        <w:pStyle w:val="ListParagraph"/>
        <w:numPr>
          <w:ilvl w:val="0"/>
          <w:numId w:val="2"/>
        </w:numPr>
        <w:spacing w:after="40" w:before="40"/>
      </w:pPr>
      <w:r>
        <w:rPr>
          <w:rFonts w:ascii="Arial" w:cs="Arial" w:eastAsia="Arial" w:hAnsi="Arial"/>
          <w:color w:val="1F2937"/>
          <w:sz w:val="22"/>
          <w:szCs w:val="22"/>
        </w:rPr>
        <w:t xml:space="preserve">Use the Gene filter to find all cells expressing a specific marker</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Comparing Across Publications</w:t>
      </w:r>
    </w:p>
    <w:p>
      <w:pPr>
        <w:pStyle w:val="ListParagraph"/>
        <w:numPr>
          <w:ilvl w:val="0"/>
          <w:numId w:val="2"/>
        </w:numPr>
        <w:spacing w:after="40" w:before="40"/>
      </w:pPr>
      <w:r>
        <w:rPr>
          <w:rFonts w:ascii="Arial" w:cs="Arial" w:eastAsia="Arial" w:hAnsi="Arial"/>
          <w:color w:val="1F2937"/>
          <w:sz w:val="22"/>
          <w:szCs w:val="22"/>
        </w:rPr>
        <w:t xml:space="preserve">Open Lineage View to see all cross-source relationships at once</w:t>
      </w:r>
    </w:p>
    <w:p>
      <w:pPr>
        <w:pStyle w:val="ListParagraph"/>
        <w:numPr>
          <w:ilvl w:val="0"/>
          <w:numId w:val="2"/>
        </w:numPr>
        <w:spacing w:after="40" w:before="40"/>
      </w:pPr>
      <w:r>
        <w:rPr>
          <w:rFonts w:ascii="Arial" w:cs="Arial" w:eastAsia="Arial" w:hAnsi="Arial"/>
          <w:color w:val="1F2937"/>
          <w:sz w:val="22"/>
          <w:szCs w:val="22"/>
        </w:rPr>
        <w:t xml:space="preserve">In Synthesis View, enable equivalence highlighting (amber) to identify cells with cross-study mappings</w:t>
      </w:r>
    </w:p>
    <w:p>
      <w:pPr>
        <w:pStyle w:val="ListParagraph"/>
        <w:numPr>
          <w:ilvl w:val="0"/>
          <w:numId w:val="2"/>
        </w:numPr>
        <w:spacing w:after="40" w:before="40"/>
      </w:pPr>
      <w:r>
        <w:rPr>
          <w:rFonts w:ascii="Arial" w:cs="Arial" w:eastAsia="Arial" w:hAnsi="Arial"/>
          <w:color w:val="1F2937"/>
          <w:sz w:val="22"/>
          <w:szCs w:val="22"/>
        </w:rPr>
        <w:t xml:space="preserve">Click any highlighted cell in Synthesis View to pin it and see all its equivalence partners</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Exploring a Cell Family</w:t>
      </w:r>
    </w:p>
    <w:p>
      <w:pPr>
        <w:pStyle w:val="ListParagraph"/>
        <w:numPr>
          <w:ilvl w:val="0"/>
          <w:numId w:val="2"/>
        </w:numPr>
        <w:spacing w:after="40" w:before="40"/>
      </w:pPr>
      <w:r>
        <w:rPr>
          <w:rFonts w:ascii="Arial" w:cs="Arial" w:eastAsia="Arial" w:hAnsi="Arial"/>
          <w:color w:val="1F2937"/>
          <w:sz w:val="22"/>
          <w:szCs w:val="22"/>
        </w:rPr>
        <w:t xml:space="preserve">Switch to Tree View and select 'By Location' or 'By Axon Type'</w:t>
      </w:r>
    </w:p>
    <w:p>
      <w:pPr>
        <w:pStyle w:val="ListParagraph"/>
        <w:numPr>
          <w:ilvl w:val="0"/>
          <w:numId w:val="2"/>
        </w:numPr>
        <w:spacing w:after="40" w:before="40"/>
      </w:pPr>
      <w:r>
        <w:rPr>
          <w:rFonts w:ascii="Arial" w:cs="Arial" w:eastAsia="Arial" w:hAnsi="Arial"/>
          <w:color w:val="1F2937"/>
          <w:sz w:val="22"/>
          <w:szCs w:val="22"/>
        </w:rPr>
        <w:t xml:space="preserve">Expand the family of interest to see all species variants</w:t>
      </w:r>
    </w:p>
    <w:p>
      <w:pPr>
        <w:pStyle w:val="ListParagraph"/>
        <w:numPr>
          <w:ilvl w:val="0"/>
          <w:numId w:val="2"/>
        </w:numPr>
        <w:spacing w:after="40" w:before="40"/>
      </w:pPr>
      <w:r>
        <w:rPr>
          <w:rFonts w:ascii="Arial" w:cs="Arial" w:eastAsia="Arial" w:hAnsi="Arial"/>
          <w:color w:val="1F2937"/>
          <w:sz w:val="22"/>
          <w:szCs w:val="22"/>
        </w:rPr>
        <w:t xml:space="preserve">Click individual variants to compare their detail modals</w:t>
      </w:r>
    </w:p>
    <w:p>
      <w:pPr>
        <w:spacing w:after="0" w:before="120"/>
      </w:pPr>
      <w:r>
        <w:t xml:space="preserve"/>
      </w:r>
    </w:p>
    <w:p>
      <w:pPr>
        <w:pStyle w:val="Heading2"/>
        <w:spacing w:after="100" w:before="280"/>
      </w:pPr>
      <w:r>
        <w:rPr>
          <w:rFonts w:ascii="Arial" w:cs="Arial" w:eastAsia="Arial" w:hAnsi="Arial"/>
          <w:b/>
          <w:bCs/>
          <w:color w:val="4F46E5"/>
          <w:sz w:val="26"/>
          <w:szCs w:val="26"/>
        </w:rPr>
        <w:t xml:space="preserve">Identifying Intersections</w:t>
      </w:r>
    </w:p>
    <w:p>
      <w:pPr>
        <w:pStyle w:val="ListParagraph"/>
        <w:numPr>
          <w:ilvl w:val="0"/>
          <w:numId w:val="2"/>
        </w:numPr>
        <w:spacing w:after="40" w:before="40"/>
      </w:pPr>
      <w:r>
        <w:rPr>
          <w:rFonts w:ascii="Arial" w:cs="Arial" w:eastAsia="Arial" w:hAnsi="Arial"/>
          <w:color w:val="1F2937"/>
          <w:sz w:val="22"/>
          <w:szCs w:val="22"/>
        </w:rPr>
        <w:t xml:space="preserve">In Cluster View, select two attribute filters simultaneously</w:t>
      </w:r>
    </w:p>
    <w:p>
      <w:pPr>
        <w:pStyle w:val="ListParagraph"/>
        <w:numPr>
          <w:ilvl w:val="0"/>
          <w:numId w:val="2"/>
        </w:numPr>
        <w:spacing w:after="40" w:before="40"/>
      </w:pPr>
      <w:r>
        <w:rPr>
          <w:rFonts w:ascii="Arial" w:cs="Arial" w:eastAsia="Arial" w:hAnsi="Arial"/>
          <w:color w:val="1F2937"/>
          <w:sz w:val="22"/>
          <w:szCs w:val="22"/>
        </w:rPr>
        <w:t xml:space="preserve">Cells matching both attributes will glow gold</w:t>
      </w:r>
    </w:p>
    <w:p>
      <w:pPr>
        <w:pStyle w:val="ListParagraph"/>
        <w:numPr>
          <w:ilvl w:val="0"/>
          <w:numId w:val="2"/>
        </w:numPr>
        <w:spacing w:after="40" w:before="40"/>
      </w:pPr>
      <w:r>
        <w:rPr>
          <w:rFonts w:ascii="Arial" w:cs="Arial" w:eastAsia="Arial" w:hAnsi="Arial"/>
          <w:color w:val="1F2937"/>
          <w:sz w:val="22"/>
          <w:szCs w:val="22"/>
        </w:rPr>
        <w:t xml:space="preserve">The statistics panel shows the count of matching cells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F2937"/>
                <w:sz w:val="22"/>
                <w:szCs w:val="22"/>
              </w:rPr>
              <w:t xml:space="preserve">💡 Tip: </w:t>
            </w:r>
            <w:r>
              <w:rPr>
                <w:rFonts w:ascii="Arial" w:cs="Arial" w:eastAsia="Arial" w:hAnsi="Arial"/>
                <w:color w:val="1F2937"/>
                <w:sz w:val="22"/>
                <w:szCs w:val="22"/>
              </w:rPr>
              <w:t xml:space="preserve">Cluster View is especially useful for exploratory analysis — try combining a species filter with a threshold phenotype filter to discover which cell types overlap across categories you care about.</w:t>
            </w:r>
          </w:p>
        </w:tc>
      </w:tr>
    </w:tbl>
    <w:p>
      <w:r>
        <w:br w:type="page"/>
      </w:r>
    </w:p>
    <w:p>
      <w:pPr>
        <w:pStyle w:val="Heading1"/>
      </w:pPr>
      <w:r>
        <w:rPr>
          <w:rFonts w:ascii="Arial" w:cs="Arial" w:eastAsia="Arial" w:hAnsi="Arial"/>
          <w:b/>
          <w:bCs/>
          <w:color w:val="1F2937"/>
          <w:sz w:val="32"/>
          <w:szCs w:val="32"/>
        </w:rPr>
        <w:t xml:space="preserve">9.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Aβ fiber</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Myelinated axon type associated with low-threshold mechanoreceptors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Aδ fiber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Thinly myelinated axon type; associated with sharp/pricking pain and cold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assertedSubclassOf</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Relationship type declaring one cell type is a subtype of another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 fiber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Unmyelinated axon type; associated with slow pain, itch, and temperature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Circuit role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The functional role of a cell type in the sensory circuit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Cre 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Genetic tool (Cre recombinase transgenic line) used to label or manipulate the cell type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CSA</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Cross-Species Atlas; the foundational paper defining 18 master cell type families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DRG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Dorsal Root Ganglion; the primary soma location of somatosensory neurons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Entity ID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Unique persistent identifier for each cell type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Equivalence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Cross-study declaration that two cell types represent the same biological entity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HTM</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High-Threshold Mechanoreceptor; responds to noxious mechanical stimuli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Low-Threshold Mechanoreceptor; responds to innocuous touch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mapsTo</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Relationship type declaring cross-nomenclature equivalence between cell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Marker genes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Genes used to identify and distinguish a cell type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RA</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Rapidly Adapting; a cell that responds at the onset and offset of a stimulus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Slowly Adapting; a cell that responds throughout the duration of a stimulus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Somatosensory neuron</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 sensory neuron that detects touch, temperature, pain, or proprioception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TG / Trigeminal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Trigeminal Ganglion; soma location for sensory neurons innervating the face and head</w:t>
            </w:r>
          </w:p>
        </w:tc>
      </w:tr>
    </w:tbl>
    <w:p>
      <w:pPr>
        <w:spacing w:after="0" w:before="240"/>
      </w:pPr>
      <w:r>
        <w:t xml:space="preserve"/>
      </w:r>
    </w:p>
    <w:p>
      <w:pPr>
        <w:pBdr>
          <w:top w:val="single" w:color="E5E7EB" w:sz="4" w:space="8"/>
        </w:pBdr>
        <w:spacing w:before="200"/>
        <w:jc w:val="center"/>
      </w:pPr>
      <w:r>
        <w:rPr>
          <w:rFonts w:ascii="Arial" w:cs="Arial" w:eastAsia="Arial" w:hAnsi="Arial"/>
          <w:i/>
          <w:iCs/>
          <w:color w:val="9CA3AF"/>
          <w:sz w:val="18"/>
          <w:szCs w:val="18"/>
        </w:rPr>
        <w:t xml:space="preserve">NervoSensus User Documentation — First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Arial" w:cs="Arial" w:eastAsia="Arial" w:hAnsi="Arial"/>
        <w:color w:val="9CA3AF"/>
        <w:sz w:val="18"/>
        <w:szCs w:val="18"/>
      </w:rPr>
      <w:t xml:space="preserve">DRAFT — For review only</w:t>
    </w:r>
    <w:r>
      <w:rPr>
        <w:rFonts w:ascii="Arial" w:cs="Arial" w:eastAsia="Arial" w:hAnsi="Arial"/>
        <w:color w:val="9CA3AF"/>
        <w:sz w:val="18"/>
        <w:szCs w:val="18"/>
      </w:rPr>
      <w:t xml:space="preserve">	Page </w:t>
    </w:r>
    <w:r>
      <w:rPr>
        <w:rFonts w:ascii="Arial" w:cs="Arial" w:eastAsia="Arial" w:hAnsi="Arial"/>
        <w:color w:val="9CA3AF"/>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026"/>
      </w:tabs>
    </w:pPr>
    <w:r>
      <w:rPr>
        <w:rFonts w:ascii="Arial" w:cs="Arial" w:eastAsia="Arial" w:hAnsi="Arial"/>
        <w:b/>
        <w:bCs/>
        <w:color w:val="4F46E5"/>
        <w:sz w:val="20"/>
        <w:szCs w:val="20"/>
      </w:rPr>
      <w:t xml:space="preserve">🧬 NervoSensus</w:t>
    </w:r>
    <w:r>
      <w:rPr>
        <w:rFonts w:ascii="Arial" w:cs="Arial" w:eastAsia="Arial" w:hAnsi="Arial"/>
        <w:color w:val="6B7280"/>
        <w:sz w:val="20"/>
        <w:szCs w:val="20"/>
      </w:rPr>
      <w:t xml:space="preserve">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4" w:space="4"/>
      </w:pBd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2026-03-11T16:59:34.220Z</dcterms:created>
  <dcterms:modified xsi:type="dcterms:W3CDTF">2026-03-11T16:59:34.221Z</dcterms:modified>
</cp:coreProperties>
</file>

<file path=docProps/custom.xml><?xml version="1.0" encoding="utf-8"?>
<Properties xmlns="http://schemas.openxmlformats.org/officeDocument/2006/custom-properties" xmlns:vt="http://schemas.openxmlformats.org/officeDocument/2006/docPropsVTypes"/>
</file>