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RDD</w:t>
      </w:r>
    </w:p>
    <w:p>
      <w:r>
        <w:t>This document describes the report layout for swipe card tracking.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PROVIDERS</w:t>
            </w:r>
          </w:p>
        </w:tc>
        <w:tc>
          <w:tcPr>
            <w:tcW w:type="dxa" w:w="2160"/>
          </w:tcPr>
          <w:p>
            <w:r>
              <w:t>PROVIDER_ID</w:t>
            </w:r>
          </w:p>
        </w:tc>
        <w:tc>
          <w:tcPr>
            <w:tcW w:type="dxa" w:w="2160"/>
          </w:tcPr>
          <w:p>
            <w:r>
              <w:t>VARCHAR(15)</w:t>
            </w:r>
          </w:p>
        </w:tc>
        <w:tc>
          <w:tcPr>
            <w:tcW w:type="dxa" w:w="2160"/>
          </w:tcPr>
          <w:p>
            <w:r>
              <w:t>Unique provider identifier</w:t>
            </w:r>
          </w:p>
        </w:tc>
      </w:tr>
    </w:tbl>
    <w:p>
      <w:r>
        <w:t>Note: this report must exclude terminated providers per policy 4.2.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