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dbdc238996e22f4e2b24df734378b76eb9706f1"/>
    <w:p>
      <w:pPr>
        <w:pStyle w:val="Heading1"/>
      </w:pPr>
      <w:r>
        <w:t xml:space="preserve">Analytical NeurIPS Public Review of Fisher Information Tier Hierarchy</w:t>
      </w:r>
    </w:p>
    <w:bookmarkStart w:id="22" w:name="executive-summary"/>
    <w:p>
      <w:pPr>
        <w:pStyle w:val="Heading2"/>
      </w:pPr>
      <w:r>
        <w:t xml:space="preserve">Executive Summary</w:t>
      </w:r>
    </w:p>
    <w:p>
      <w:pPr>
        <w:pStyle w:val="FirstParagraph"/>
      </w:pPr>
      <w:r>
        <w:t xml:space="preserve">This submission is ambitious, intellectually interesting, and unusually broad in empirical scope. It argues that a three-tier diagonal Fisher Information Matrix hierarchy is a panel-bounded signature of “deep layered sequential computation,” supports that claim with a 12-substrate panel, proposes a log-normal mechanism linked to Hanin–Nica-style gradient products, and reports production-scale checks on ResNet-50, ViT-L/16, GPT-2-medium, and CIFAR ResNet-18. The strongest parts are the breadth of the substrate panel, the falsification-oriented mindset, the estimator sanity checks, and the effort to document an artifact pipeline in the supplement. The biggest concerns are that the headline universality claim is stronger than the theorem-backed scope, the closest prior observables are compared mostly narratively rather than in matched experiments, several decisive production-scale claims rest on very limited evidence in the provided materials, and the current package omits the actual checklist and runnable artifact bundle that the supplement says exist. fileciteturn0file0L2-L19 fileciteturn0file0L37-L43 fileciteturn0file1L81-L95 fileciteturn0file1L102-L138 fileciteturn0file1L154-L193</w:t>
      </w:r>
    </w:p>
    <w:p>
      <w:pPr>
        <w:pStyle w:val="BodyText"/>
      </w:pPr>
      <w:r>
        <w:t xml:space="preserve">I would currently score the paper</w:t>
      </w:r>
      <w:r>
        <w:t xml:space="preserve"> </w:t>
      </w:r>
      <w:r>
        <w:rPr>
          <w:b/>
          <w:bCs/>
        </w:rPr>
        <w:t xml:space="preserve">5.9/10 overall</w:t>
      </w:r>
      <w:r>
        <w:t xml:space="preserve"> </w:t>
      </w:r>
      <w:r>
        <w:t xml:space="preserve">and recommend</w:t>
      </w:r>
      <w:r>
        <w:t xml:space="preserve"> </w:t>
      </w:r>
      <w:r>
        <w:rPr>
          <w:b/>
          <w:bCs/>
        </w:rPr>
        <w:t xml:space="preserve">Weak Reject</w:t>
      </w:r>
      <w:r>
        <w:t xml:space="preserve">. The paper is close enough to merit serious discussion: if the authors can (i) tighten the claim hierarchy, (ii) provide the missing artifact/checklist materials, (iii) run direct same-setting comparisons against the closest prior observables, and (iv) clarify the status of the production-scale experiments, it could plausibly move to borderline or better. I treat the submission as a</w:t>
      </w:r>
      <w:r>
        <w:t xml:space="preserve"> </w:t>
      </w:r>
      <w:r>
        <w:rPr>
          <w:b/>
          <w:bCs/>
        </w:rPr>
        <w:t xml:space="preserve">theory-forward general paper</w:t>
      </w:r>
      <w:r>
        <w:t xml:space="preserve"> </w:t>
      </w:r>
      <w:r>
        <w:t xml:space="preserve">under current NeurIPS reviewing guidance, emphasizing quality/correctness, clarity, significance, originality, and checklist-informed reproducibility/ethics.</w:t>
      </w:r>
      <w:r>
        <w:t xml:space="preserve"> </w:t>
      </w:r>
      <w:hyperlink r:id="rId21">
        <w:r>
          <w:rPr>
            <w:rStyle w:val="Hyperlink"/>
          </w:rPr>
          <w:t xml:space="preserve">[1]</w:t>
        </w:r>
      </w:hyperlink>
    </w:p>
    <w:p>
      <w:pPr>
        <w:pStyle w:val="BodyText"/>
      </w:pPr>
      <w:r>
        <w:rPr>
          <w:b/>
          <w:bCs/>
        </w:rPr>
        <w:t xml:space="preserve">Bottom line</w:t>
      </w:r>
    </w:p>
    <w:p>
      <w:pPr>
        <w:pStyle w:val="Compact"/>
        <w:numPr>
          <w:ilvl w:val="0"/>
          <w:numId w:val="1001"/>
        </w:numPr>
      </w:pPr>
      <w:r>
        <w:rPr>
          <w:b/>
          <w:bCs/>
        </w:rPr>
        <w:t xml:space="preserve">Recommendation:</w:t>
      </w:r>
      <w:r>
        <w:t xml:space="preserve"> </w:t>
      </w:r>
      <w:r>
        <w:t xml:space="preserve">Weak Reject</w:t>
      </w:r>
    </w:p>
    <w:p>
      <w:pPr>
        <w:pStyle w:val="Compact"/>
        <w:numPr>
          <w:ilvl w:val="0"/>
          <w:numId w:val="1001"/>
        </w:numPr>
      </w:pPr>
      <w:r>
        <w:rPr>
          <w:b/>
          <w:bCs/>
        </w:rPr>
        <w:t xml:space="preserve">Overall weighted score:</w:t>
      </w:r>
      <w:r>
        <w:t xml:space="preserve"> </w:t>
      </w:r>
      <w:r>
        <w:rPr>
          <w:b/>
          <w:bCs/>
        </w:rPr>
        <w:t xml:space="preserve">5.9/10</w:t>
      </w:r>
    </w:p>
    <w:p>
      <w:pPr>
        <w:pStyle w:val="Compact"/>
        <w:numPr>
          <w:ilvl w:val="0"/>
          <w:numId w:val="1001"/>
        </w:numPr>
      </w:pPr>
      <w:r>
        <w:rPr>
          <w:b/>
          <w:bCs/>
        </w:rPr>
        <w:t xml:space="preserve">Main accept reasons:</w:t>
      </w:r>
      <w:r>
        <w:t xml:space="preserve"> </w:t>
      </w:r>
      <w:r>
        <w:t xml:space="preserve">ambitious scope, a genuinely interesting FIM-diagonal observable, strong falsifier instinct, promising artifact discipline</w:t>
      </w:r>
    </w:p>
    <w:p>
      <w:pPr>
        <w:pStyle w:val="Compact"/>
        <w:numPr>
          <w:ilvl w:val="0"/>
          <w:numId w:val="1001"/>
        </w:numPr>
      </w:pPr>
      <w:r>
        <w:rPr>
          <w:b/>
          <w:bCs/>
        </w:rPr>
        <w:t xml:space="preserve">Main reject reasons:</w:t>
      </w:r>
      <w:r>
        <w:t xml:space="preserve"> </w:t>
      </w:r>
      <w:r>
        <w:t xml:space="preserve">claim scope exceeds evidence, comparisons to closest prior work are not yet decisive, and reproducibility/package completeness is not yet review-ready</w:t>
      </w:r>
    </w:p>
    <w:bookmarkEnd w:id="22"/>
    <w:bookmarkStart w:id="24" w:name="assumptions-and-scoring-framework"/>
    <w:p>
      <w:pPr>
        <w:pStyle w:val="Heading2"/>
      </w:pPr>
      <w:r>
        <w:t xml:space="preserve">Assumptions and Scoring Framework</w:t>
      </w:r>
    </w:p>
    <w:p>
      <w:pPr>
        <w:pStyle w:val="FirstParagraph"/>
      </w:pPr>
      <w:r>
        <w:t xml:space="preserve">The provided materials include the main paper and a supplementary PDF, but not the actual NeurIPS checklist, code archive, raw result JSONs, or the anonymized artifact bundle referenced in the supplement. The supplement claims a public anonymous repository, a one-command reproduction path, deterministic settings, a claim-to-artifact manifest, and a checklist file, but those materials were not directly inspectable in this review context. Because NeurIPS explicitly uses quality, clarity, significance, originality, and checklist-informed reproducibility/ethics when reviewing, and because theory-focused papers should be judged primarily on correctness and appropriateness of assumptions rather than on state-of-the-art benchmarking alone, I score the paper using the requested ten-scope rubric below. Missing artifacts reduce my confidence in the reproducibility-related scopes, but I do</w:t>
      </w:r>
      <w:r>
        <w:t xml:space="preserve"> </w:t>
      </w:r>
      <w:r>
        <w:rPr>
          <w:b/>
          <w:bCs/>
        </w:rPr>
        <w:t xml:space="preserve">not</w:t>
      </w:r>
      <w:r>
        <w:t xml:space="preserve"> </w:t>
      </w:r>
      <w:r>
        <w:t xml:space="preserve">treat the absence of a visible checklist here as automatic rejection; official NeurIPS guidance explicitly says that “no” answers are not, by themselves, grounds for rejection. fileciteturn0file1L154-L193</w:t>
      </w:r>
      <w:r>
        <w:t xml:space="preserve"> </w:t>
      </w:r>
      <w:hyperlink r:id="rId21">
        <w:r>
          <w:rPr>
            <w:rStyle w:val="Hyperlink"/>
          </w:rPr>
          <w:t xml:space="preserve">[2]</w:t>
        </w:r>
      </w:hyperlink>
    </w:p>
    <w:bookmarkStart w:id="23" w:name="weighting-assumptions"/>
    <w:p>
      <w:pPr>
        <w:pStyle w:val="Heading3"/>
      </w:pPr>
      <w:r>
        <w:t xml:space="preserve">Weighting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jc w:val="right"/>
            </w:pPr>
            <w:r>
              <w:t xml:space="preserve">Score</w:t>
            </w:r>
          </w:p>
        </w:tc>
        <w:tc>
          <w:tcPr/>
          <w:p>
            <w:pPr>
              <w:pStyle w:val="Compact"/>
              <w:jc w:val="right"/>
            </w:pPr>
            <w:r>
              <w:t xml:space="preserve">Weight</w:t>
            </w:r>
          </w:p>
        </w:tc>
      </w:tr>
      <w:tr>
        <w:tc>
          <w:tcPr/>
          <w:p>
            <w:pPr>
              <w:pStyle w:val="Compact"/>
            </w:pPr>
            <w:r>
              <w:t xml:space="preserve">Novelty / originality</w:t>
            </w:r>
          </w:p>
        </w:tc>
        <w:tc>
          <w:tcPr/>
          <w:p>
            <w:pPr>
              <w:pStyle w:val="Compact"/>
              <w:jc w:val="right"/>
            </w:pPr>
            <w:r>
              <w:t xml:space="preserve">7.5</w:t>
            </w:r>
          </w:p>
        </w:tc>
        <w:tc>
          <w:tcPr/>
          <w:p>
            <w:pPr>
              <w:pStyle w:val="Compact"/>
              <w:jc w:val="right"/>
            </w:pPr>
            <w:r>
              <w:t xml:space="preserve">14%</w:t>
            </w:r>
          </w:p>
        </w:tc>
      </w:tr>
      <w:tr>
        <w:tc>
          <w:tcPr/>
          <w:p>
            <w:pPr>
              <w:pStyle w:val="Compact"/>
            </w:pPr>
            <w:r>
              <w:t xml:space="preserve">Technical correctness</w:t>
            </w:r>
          </w:p>
        </w:tc>
        <w:tc>
          <w:tcPr/>
          <w:p>
            <w:pPr>
              <w:pStyle w:val="Compact"/>
              <w:jc w:val="right"/>
            </w:pPr>
            <w:r>
              <w:t xml:space="preserve">5.5</w:t>
            </w:r>
          </w:p>
        </w:tc>
        <w:tc>
          <w:tcPr/>
          <w:p>
            <w:pPr>
              <w:pStyle w:val="Compact"/>
              <w:jc w:val="right"/>
            </w:pPr>
            <w:r>
              <w:t xml:space="preserve">16%</w:t>
            </w:r>
          </w:p>
        </w:tc>
      </w:tr>
      <w:tr>
        <w:tc>
          <w:tcPr/>
          <w:p>
            <w:pPr>
              <w:pStyle w:val="Compact"/>
            </w:pPr>
            <w:r>
              <w:t xml:space="preserve">Significance / impact</w:t>
            </w:r>
          </w:p>
        </w:tc>
        <w:tc>
          <w:tcPr/>
          <w:p>
            <w:pPr>
              <w:pStyle w:val="Compact"/>
              <w:jc w:val="right"/>
            </w:pPr>
            <w:r>
              <w:t xml:space="preserve">6.5</w:t>
            </w:r>
          </w:p>
        </w:tc>
        <w:tc>
          <w:tcPr/>
          <w:p>
            <w:pPr>
              <w:pStyle w:val="Compact"/>
              <w:jc w:val="right"/>
            </w:pPr>
            <w:r>
              <w:t xml:space="preserve">14%</w:t>
            </w:r>
          </w:p>
        </w:tc>
      </w:tr>
      <w:tr>
        <w:tc>
          <w:tcPr/>
          <w:p>
            <w:pPr>
              <w:pStyle w:val="Compact"/>
            </w:pPr>
            <w:r>
              <w:t xml:space="preserve">Clarity and presentation</w:t>
            </w:r>
          </w:p>
        </w:tc>
        <w:tc>
          <w:tcPr/>
          <w:p>
            <w:pPr>
              <w:pStyle w:val="Compact"/>
              <w:jc w:val="right"/>
            </w:pPr>
            <w:r>
              <w:t xml:space="preserve">5.0</w:t>
            </w:r>
          </w:p>
        </w:tc>
        <w:tc>
          <w:tcPr/>
          <w:p>
            <w:pPr>
              <w:pStyle w:val="Compact"/>
              <w:jc w:val="right"/>
            </w:pPr>
            <w:r>
              <w:t xml:space="preserve">9%</w:t>
            </w:r>
          </w:p>
        </w:tc>
      </w:tr>
      <w:tr>
        <w:tc>
          <w:tcPr/>
          <w:p>
            <w:pPr>
              <w:pStyle w:val="Compact"/>
            </w:pPr>
            <w:r>
              <w:t xml:space="preserve">Experimental rigor and reproducibility</w:t>
            </w:r>
          </w:p>
        </w:tc>
        <w:tc>
          <w:tcPr/>
          <w:p>
            <w:pPr>
              <w:pStyle w:val="Compact"/>
              <w:jc w:val="right"/>
            </w:pPr>
            <w:r>
              <w:t xml:space="preserve">5.5</w:t>
            </w:r>
          </w:p>
        </w:tc>
        <w:tc>
          <w:tcPr/>
          <w:p>
            <w:pPr>
              <w:pStyle w:val="Compact"/>
              <w:jc w:val="right"/>
            </w:pPr>
            <w:r>
              <w:t xml:space="preserve">12%</w:t>
            </w:r>
          </w:p>
        </w:tc>
      </w:tr>
      <w:tr>
        <w:tc>
          <w:tcPr/>
          <w:p>
            <w:pPr>
              <w:pStyle w:val="Compact"/>
            </w:pPr>
            <w:r>
              <w:t xml:space="preserve">Baselines and comparisons</w:t>
            </w:r>
          </w:p>
        </w:tc>
        <w:tc>
          <w:tcPr/>
          <w:p>
            <w:pPr>
              <w:pStyle w:val="Compact"/>
              <w:jc w:val="right"/>
            </w:pPr>
            <w:r>
              <w:t xml:space="preserve">4.8</w:t>
            </w:r>
          </w:p>
        </w:tc>
        <w:tc>
          <w:tcPr/>
          <w:p>
            <w:pPr>
              <w:pStyle w:val="Compact"/>
              <w:jc w:val="right"/>
            </w:pPr>
            <w:r>
              <w:t xml:space="preserve">8%</w:t>
            </w:r>
          </w:p>
        </w:tc>
      </w:tr>
      <w:tr>
        <w:tc>
          <w:tcPr/>
          <w:p>
            <w:pPr>
              <w:pStyle w:val="Compact"/>
            </w:pPr>
            <w:r>
              <w:t xml:space="preserve">Ablation studies</w:t>
            </w:r>
          </w:p>
        </w:tc>
        <w:tc>
          <w:tcPr/>
          <w:p>
            <w:pPr>
              <w:pStyle w:val="Compact"/>
              <w:jc w:val="right"/>
            </w:pPr>
            <w:r>
              <w:t xml:space="preserve">6.0</w:t>
            </w:r>
          </w:p>
        </w:tc>
        <w:tc>
          <w:tcPr/>
          <w:p>
            <w:pPr>
              <w:pStyle w:val="Compact"/>
              <w:jc w:val="right"/>
            </w:pPr>
            <w:r>
              <w:t xml:space="preserve">7%</w:t>
            </w:r>
          </w:p>
        </w:tc>
      </w:tr>
      <w:tr>
        <w:tc>
          <w:tcPr/>
          <w:p>
            <w:pPr>
              <w:pStyle w:val="Compact"/>
            </w:pPr>
            <w:r>
              <w:t xml:space="preserve">Theoretical soundness</w:t>
            </w:r>
          </w:p>
        </w:tc>
        <w:tc>
          <w:tcPr/>
          <w:p>
            <w:pPr>
              <w:pStyle w:val="Compact"/>
              <w:jc w:val="right"/>
            </w:pPr>
            <w:r>
              <w:t xml:space="preserve">5.5</w:t>
            </w:r>
          </w:p>
        </w:tc>
        <w:tc>
          <w:tcPr/>
          <w:p>
            <w:pPr>
              <w:pStyle w:val="Compact"/>
              <w:jc w:val="right"/>
            </w:pPr>
            <w:r>
              <w:t xml:space="preserve">12%</w:t>
            </w:r>
          </w:p>
        </w:tc>
      </w:tr>
      <w:tr>
        <w:tc>
          <w:tcPr/>
          <w:p>
            <w:pPr>
              <w:pStyle w:val="Compact"/>
            </w:pPr>
            <w:r>
              <w:t xml:space="preserve">Ethical considerations and societal impact</w:t>
            </w:r>
          </w:p>
        </w:tc>
        <w:tc>
          <w:tcPr/>
          <w:p>
            <w:pPr>
              <w:pStyle w:val="Compact"/>
              <w:jc w:val="right"/>
            </w:pPr>
            <w:r>
              <w:t xml:space="preserve">7.0</w:t>
            </w:r>
          </w:p>
        </w:tc>
        <w:tc>
          <w:tcPr/>
          <w:p>
            <w:pPr>
              <w:pStyle w:val="Compact"/>
              <w:jc w:val="right"/>
            </w:pPr>
            <w:r>
              <w:t xml:space="preserve">3%</w:t>
            </w:r>
          </w:p>
        </w:tc>
      </w:tr>
      <w:tr>
        <w:tc>
          <w:tcPr/>
          <w:p>
            <w:pPr>
              <w:pStyle w:val="Compact"/>
            </w:pPr>
            <w:r>
              <w:t xml:space="preserve">Writing quality and organization</w:t>
            </w:r>
          </w:p>
        </w:tc>
        <w:tc>
          <w:tcPr/>
          <w:p>
            <w:pPr>
              <w:pStyle w:val="Compact"/>
              <w:jc w:val="right"/>
            </w:pPr>
            <w:r>
              <w:t xml:space="preserve">5.0</w:t>
            </w:r>
          </w:p>
        </w:tc>
        <w:tc>
          <w:tcPr/>
          <w:p>
            <w:pPr>
              <w:pStyle w:val="Compact"/>
              <w:jc w:val="right"/>
            </w:pPr>
            <w:r>
              <w:t xml:space="preserve">5%</w:t>
            </w:r>
          </w:p>
        </w:tc>
      </w:tr>
    </w:tbl>
    <w:p>
      <w:pPr>
        <w:pStyle w:val="BodyText"/>
      </w:pPr>
      <w:r>
        <w:rPr>
          <w:b/>
          <w:bCs/>
        </w:rPr>
        <w:t xml:space="preserve">Overall weighted score: 5.9/10</w:t>
      </w:r>
    </w:p>
    <w:p>
      <w:pPr>
        <w:pStyle w:val="BodyText"/>
      </w:pPr>
      <w:r>
        <w:t xml:space="preserve">The chart below rounds the scope scores to the nearest integer for readability.</w:t>
      </w:r>
    </w:p>
    <w:p>
      <w:pPr>
        <w:pStyle w:val="SourceCode"/>
      </w:pPr>
      <w:r>
        <w:rPr>
          <w:rStyle w:val="VerbatimChar"/>
        </w:rPr>
        <w:t xml:space="preserve">xychart-beta</w:t>
      </w:r>
      <w:r>
        <w:br/>
      </w:r>
      <w:r>
        <w:rPr>
          <w:rStyle w:val="VerbatimChar"/>
        </w:rPr>
        <w:t xml:space="preserve">    title "Scores by scope"</w:t>
      </w:r>
      <w:r>
        <w:br/>
      </w:r>
      <w:r>
        <w:rPr>
          <w:rStyle w:val="VerbatimChar"/>
        </w:rPr>
        <w:t xml:space="preserve">    x-axis ["Novel","Tech","Impact","Clarity","Rigor","Compare","Abl","Theory","Ethics","Writing"]</w:t>
      </w:r>
      <w:r>
        <w:br/>
      </w:r>
      <w:r>
        <w:rPr>
          <w:rStyle w:val="VerbatimChar"/>
        </w:rPr>
        <w:t xml:space="preserve">    y-axis "Score" 0 --&gt; 10</w:t>
      </w:r>
      <w:r>
        <w:br/>
      </w:r>
      <w:r>
        <w:rPr>
          <w:rStyle w:val="VerbatimChar"/>
        </w:rPr>
        <w:t xml:space="preserve">    bar [8,6,7,5,6,5,6,6,7,5]</w:t>
      </w:r>
    </w:p>
    <w:bookmarkEnd w:id="23"/>
    <w:bookmarkEnd w:id="24"/>
    <w:bookmarkStart w:id="28" w:name="scope-by-scope-assessment"/>
    <w:p>
      <w:pPr>
        <w:pStyle w:val="Heading2"/>
      </w:pPr>
      <w:r>
        <w:t xml:space="preserve">Scope-by-Scope Assessment</w:t>
      </w:r>
    </w:p>
    <w:p>
      <w:pPr>
        <w:pStyle w:val="FirstParagraph"/>
      </w:pPr>
      <w:r>
        <w:rPr>
          <w:b/>
          <w:bCs/>
        </w:rPr>
        <w:t xml:space="preserve">Novelty / originality — 7.5/10</w:t>
      </w:r>
    </w:p>
    <w:p>
      <w:pPr>
        <w:pStyle w:val="BodyText"/>
      </w:pPr>
      <w:r>
        <w:t xml:space="preserve">The strongest novelty claim is not that the paper is the first to study heavy-tailed geometry in deep networks, but that it introduces a</w:t>
      </w:r>
      <w:r>
        <w:t xml:space="preserve"> </w:t>
      </w:r>
      <w:r>
        <w:rPr>
          <w:b/>
          <w:bCs/>
        </w:rPr>
        <w:t xml:space="preserve">diagonal FIM tier-ratio observable</w:t>
      </w:r>
      <w:r>
        <w:t xml:space="preserve"> </w:t>
      </w:r>
      <w:r>
        <w:t xml:space="preserve">and tests it across a very broad substrate panel, including non-neural systems, while explicitly framing falsifiers. That is a meaningful step beyond prior FIM-spectrum, Hessian-outlier, and weight-spectrum work, even if it is not as cleanly unprecedented as the title and abstract suggest. fileciteturn0file1L3-L50</w:t>
      </w:r>
      <w:r>
        <w:t xml:space="preserve"> </w:t>
      </w:r>
      <w:hyperlink r:id="rId25">
        <w:r>
          <w:rPr>
            <w:rStyle w:val="Hyperlink"/>
          </w:rPr>
          <w:t xml:space="preserve">[3]</w:t>
        </w:r>
      </w:hyperlink>
    </w:p>
    <w:p>
      <w:pPr>
        <w:pStyle w:val="BodyText"/>
      </w:pPr>
      <w:r>
        <w:rPr>
          <w:b/>
          <w:bCs/>
        </w:rPr>
        <w:t xml:space="preserve">Strengths</w:t>
      </w:r>
    </w:p>
    <w:p>
      <w:pPr>
        <w:pStyle w:val="Compact"/>
        <w:numPr>
          <w:ilvl w:val="0"/>
          <w:numId w:val="1002"/>
        </w:numPr>
      </w:pPr>
      <w:r>
        <w:t xml:space="preserve">The submission identifies a concrete, easy-to-state statistic,</w:t>
      </w:r>
      <w:r>
        <w:t xml:space="preserve"> </w:t>
      </w:r>
      <m:oMath>
        <m:r>
          <m:t>T</m:t>
        </m:r>
        <m:r>
          <m:t>1</m:t>
        </m:r>
        <m:r>
          <m:rPr>
            <m:sty m:val="p"/>
          </m:rPr>
          <m:t>/</m:t>
        </m:r>
        <m:r>
          <m:t>T</m:t>
        </m:r>
        <m:r>
          <m:t>3</m:t>
        </m:r>
      </m:oMath>
      <w:r>
        <w:t xml:space="preserve">, and builds a broad empirical story around it.</w:t>
      </w:r>
    </w:p>
    <w:p>
      <w:pPr>
        <w:pStyle w:val="Compact"/>
        <w:numPr>
          <w:ilvl w:val="0"/>
          <w:numId w:val="1002"/>
        </w:numPr>
      </w:pPr>
      <w:r>
        <w:t xml:space="preserve">The “panel-bounded” framing and preregistered falsifiers are better than typical vague “universality” claims.</w:t>
      </w:r>
    </w:p>
    <w:p>
      <w:pPr>
        <w:pStyle w:val="Compact"/>
        <w:numPr>
          <w:ilvl w:val="0"/>
          <w:numId w:val="1002"/>
        </w:numPr>
      </w:pPr>
      <w:r>
        <w:t xml:space="preserve">The attempt to distinguish the contribution from FIM spectrum, Hessian outliers, and weight spectra is explicit rather than implicit.</w:t>
      </w:r>
    </w:p>
    <w:p>
      <w:pPr>
        <w:pStyle w:val="FirstParagraph"/>
      </w:pPr>
      <w:r>
        <w:rPr>
          <w:b/>
          <w:bCs/>
        </w:rPr>
        <w:t xml:space="preserve">Weaknesses</w:t>
      </w:r>
    </w:p>
    <w:p>
      <w:pPr>
        <w:pStyle w:val="Compact"/>
        <w:numPr>
          <w:ilvl w:val="0"/>
          <w:numId w:val="1003"/>
        </w:numPr>
      </w:pPr>
      <w:r>
        <w:t xml:space="preserve">A significant fraction of the conceptual territory overlaps with existing literature on FIM spectra, heavy tails, Hessian hierarchy, and gradient-product theory.</w:t>
      </w:r>
    </w:p>
    <w:p>
      <w:pPr>
        <w:pStyle w:val="Compact"/>
        <w:numPr>
          <w:ilvl w:val="0"/>
          <w:numId w:val="1003"/>
        </w:numPr>
      </w:pPr>
      <w:r>
        <w:t xml:space="preserve">The generic log-normal tier-ratio theorem is mathematically neat, but by itself it is not a field-defining technical leap.</w:t>
      </w:r>
    </w:p>
    <w:p>
      <w:pPr>
        <w:pStyle w:val="Compact"/>
        <w:numPr>
          <w:ilvl w:val="0"/>
          <w:numId w:val="1003"/>
        </w:numPr>
      </w:pPr>
      <w:r>
        <w:t xml:space="preserve">The title and abstract still overstate how much of the novelty is theorem-backed versus how much is empirical reframing.</w:t>
      </w:r>
    </w:p>
    <w:p>
      <w:pPr>
        <w:pStyle w:val="FirstParagraph"/>
      </w:pPr>
      <w:r>
        <w:rPr>
          <w:b/>
          <w:bCs/>
        </w:rPr>
        <w:t xml:space="preserve">Priority improvements</w:t>
      </w:r>
      <w:r>
        <w:t xml:space="preserve"> </w:t>
      </w:r>
      <w:r>
        <w:t xml:space="preserve">1. Recast the headline claim as</w:t>
      </w:r>
      <w:r>
        <w:t xml:space="preserve"> </w:t>
      </w:r>
      <w:r>
        <w:rPr>
          <w:b/>
          <w:bCs/>
        </w:rPr>
        <w:t xml:space="preserve">“panel-bounded empirical universality”</w:t>
      </w:r>
      <w:r>
        <w:t xml:space="preserve"> </w:t>
      </w:r>
      <w:r>
        <w:t xml:space="preserve">unless stronger out-of-panel validation is added.</w:t>
      </w:r>
      <w:r>
        <w:t xml:space="preserve"> </w:t>
      </w:r>
      <w:r>
        <w:t xml:space="preserve">2. Add a single, explicit “what is actually new” box in the introduction with one sentence per contribution.</w:t>
      </w:r>
      <w:r>
        <w:t xml:space="preserve"> </w:t>
      </w:r>
      <w:r>
        <w:t xml:space="preserve">3. Include a matched experimental comparison against the closest prior observables on the same models.</w:t>
      </w:r>
      <w:r>
        <w:t xml:space="preserve"> </w:t>
      </w:r>
      <w:r>
        <w:t xml:space="preserve">4. Separate clearly what is new in the statistic, what is new in the theorem, and what is new in the empirical breadth.</w:t>
      </w:r>
    </w:p>
    <w:p>
      <w:pPr>
        <w:pStyle w:val="BodyText"/>
      </w:pPr>
      <w:r>
        <w:rPr>
          <w:b/>
          <w:bCs/>
        </w:rPr>
        <w:t xml:space="preserve">Technical correctness — 5.5/10</w:t>
      </w:r>
    </w:p>
    <w:p>
      <w:pPr>
        <w:pStyle w:val="BodyText"/>
      </w:pPr>
      <w:r>
        <w:t xml:space="preserve">The paper contains multiple signs of careful empirical work: bootstrap confidence intervals, a one-sided Mann–Whitney test, leave-one-substrate-class-out robustness, threshold sweeps, and estimator convergence checks. But the central claim still moves from “strong panel separation” to “architecture-class property” faster than the evidence justifies, especially when some key production-scale results appear as one-off checkpoints. fileciteturn0file0L186-L203 fileciteturn0file1L81-L95 fileciteturn0file1L194-L208</w:t>
      </w:r>
    </w:p>
    <w:p>
      <w:pPr>
        <w:pStyle w:val="BodyText"/>
      </w:pPr>
      <w:r>
        <w:rPr>
          <w:b/>
          <w:bCs/>
        </w:rPr>
        <w:t xml:space="preserve">Strengths</w:t>
      </w:r>
    </w:p>
    <w:p>
      <w:pPr>
        <w:pStyle w:val="Compact"/>
        <w:numPr>
          <w:ilvl w:val="0"/>
          <w:numId w:val="1004"/>
        </w:numPr>
      </w:pPr>
      <w:r>
        <w:t xml:space="preserve">The panel statistics are more serious than a single scatterplot or a single p-value.</w:t>
      </w:r>
    </w:p>
    <w:p>
      <w:pPr>
        <w:pStyle w:val="Compact"/>
        <w:numPr>
          <w:ilvl w:val="0"/>
          <w:numId w:val="1004"/>
        </w:numPr>
      </w:pPr>
      <w:r>
        <w:t xml:space="preserve">The estimator sensitivity analysis over probe count and dtype is exactly the kind of sanity check reviewers want.</w:t>
      </w:r>
    </w:p>
    <w:p>
      <w:pPr>
        <w:pStyle w:val="Compact"/>
        <w:numPr>
          <w:ilvl w:val="0"/>
          <w:numId w:val="1004"/>
        </w:numPr>
      </w:pPr>
      <w:r>
        <w:t xml:space="preserve">The paper openly reports narrowing cases rather than suppressing them.</w:t>
      </w:r>
    </w:p>
    <w:p>
      <w:pPr>
        <w:pStyle w:val="FirstParagraph"/>
      </w:pPr>
      <w:r>
        <w:rPr>
          <w:b/>
          <w:bCs/>
        </w:rPr>
        <w:t xml:space="preserve">Weaknesses</w:t>
      </w:r>
    </w:p>
    <w:p>
      <w:pPr>
        <w:pStyle w:val="Compact"/>
        <w:numPr>
          <w:ilvl w:val="0"/>
          <w:numId w:val="1005"/>
        </w:numPr>
      </w:pPr>
      <w:r>
        <w:t xml:space="preserve">“Complete rank separation” on a curated panel is compelling but not yet sufficient to justify the strongest architecture-class wording.</w:t>
      </w:r>
    </w:p>
    <w:p>
      <w:pPr>
        <w:pStyle w:val="Compact"/>
        <w:numPr>
          <w:ilvl w:val="0"/>
          <w:numId w:val="1005"/>
        </w:numPr>
      </w:pPr>
      <w:r>
        <w:t xml:space="preserve">The group test pools observations across systems and widths; the dependence structure and effective unit of analysis should be discussed more carefully.</w:t>
      </w:r>
    </w:p>
    <w:p>
      <w:pPr>
        <w:pStyle w:val="Compact"/>
        <w:numPr>
          <w:ilvl w:val="0"/>
          <w:numId w:val="1005"/>
        </w:numPr>
      </w:pPr>
      <w:r>
        <w:t xml:space="preserve">Production-scale evidence is mostly point evidence, not full uncertainty-characterized replication.</w:t>
      </w:r>
    </w:p>
    <w:p>
      <w:pPr>
        <w:pStyle w:val="Compact"/>
        <w:numPr>
          <w:ilvl w:val="0"/>
          <w:numId w:val="1005"/>
        </w:numPr>
      </w:pPr>
      <w:r>
        <w:t xml:space="preserve">The high-level empirical proposition risks sounding stronger than the data support.</w:t>
      </w:r>
    </w:p>
    <w:p>
      <w:pPr>
        <w:pStyle w:val="FirstParagraph"/>
      </w:pPr>
      <w:r>
        <w:rPr>
          <w:b/>
          <w:bCs/>
        </w:rPr>
        <w:t xml:space="preserve">Priority improvements</w:t>
      </w:r>
      <w:r>
        <w:t xml:space="preserve"> </w:t>
      </w:r>
      <w:r>
        <w:t xml:space="preserve">1. Re-run the main hypothesis tests using a</w:t>
      </w:r>
      <w:r>
        <w:t xml:space="preserve"> </w:t>
      </w:r>
      <w:r>
        <w:rPr>
          <w:b/>
          <w:bCs/>
        </w:rPr>
        <w:t xml:space="preserve">hierarchical bootstrap</w:t>
      </w:r>
      <w:r>
        <w:t xml:space="preserve"> </w:t>
      </w:r>
      <w:r>
        <w:t xml:space="preserve">or system-level aggregation, not only pooled per-seed values.</w:t>
      </w:r>
      <w:r>
        <w:t xml:space="preserve"> </w:t>
      </w:r>
      <w:r>
        <w:t xml:space="preserve">2. Report uncertainty for the production-scale runs, even if only via repeated probe-estimation runs or checkpoint perturbations.</w:t>
      </w:r>
      <w:r>
        <w:t xml:space="preserve"> </w:t>
      </w:r>
      <w:r>
        <w:t xml:space="preserve">3. Add one or two</w:t>
      </w:r>
      <w:r>
        <w:t xml:space="preserve"> </w:t>
      </w:r>
      <w:r>
        <w:rPr>
          <w:b/>
          <w:bCs/>
        </w:rPr>
        <w:t xml:space="preserve">held-out substrate classes</w:t>
      </w:r>
      <w:r>
        <w:t xml:space="preserve"> </w:t>
      </w:r>
      <w:r>
        <w:t xml:space="preserve">that were not part of the original narrative.</w:t>
      </w:r>
      <w:r>
        <w:t xml:space="preserve"> </w:t>
      </w:r>
      <w:r>
        <w:t xml:space="preserve">4. Rephrase “property of the architecture class” to “strong empirical regularity on the tested panel” unless external replication is added.</w:t>
      </w:r>
    </w:p>
    <w:p>
      <w:pPr>
        <w:pStyle w:val="BodyText"/>
      </w:pPr>
      <w:r>
        <w:rPr>
          <w:b/>
          <w:bCs/>
        </w:rPr>
        <w:t xml:space="preserve">Significance / impact — 6.5/10</w:t>
      </w:r>
    </w:p>
    <w:p>
      <w:pPr>
        <w:pStyle w:val="BodyText"/>
      </w:pPr>
      <w:r>
        <w:t xml:space="preserve">If the central claim is correct, the paper could influence how theorists think about depth, initialization, and structural concentration in parameter space. A compact diagnostic that separates deep layer-stacked systems from a wide null panel would be conceptually interesting. The present paper, however, does not yet demonstrate why the community should use the statistic beyond appreciating the pattern. fileciteturn0file0L2-L19 fileciteturn0file0L231-L243</w:t>
      </w:r>
      <w:r>
        <w:t xml:space="preserve"> </w:t>
      </w:r>
      <w:hyperlink r:id="rId21">
        <w:r>
          <w:rPr>
            <w:rStyle w:val="Hyperlink"/>
          </w:rPr>
          <w:t xml:space="preserve">[4]</w:t>
        </w:r>
      </w:hyperlink>
    </w:p>
    <w:p>
      <w:pPr>
        <w:pStyle w:val="BodyText"/>
      </w:pPr>
      <w:r>
        <w:rPr>
          <w:b/>
          <w:bCs/>
        </w:rPr>
        <w:t xml:space="preserve">Strengths</w:t>
      </w:r>
    </w:p>
    <w:p>
      <w:pPr>
        <w:pStyle w:val="Compact"/>
        <w:numPr>
          <w:ilvl w:val="0"/>
          <w:numId w:val="1006"/>
        </w:numPr>
      </w:pPr>
      <w:r>
        <w:t xml:space="preserve">The question is broad enough to matter to representation theory, optimization geometry, and architecture analysis.</w:t>
      </w:r>
    </w:p>
    <w:p>
      <w:pPr>
        <w:pStyle w:val="Compact"/>
        <w:numPr>
          <w:ilvl w:val="0"/>
          <w:numId w:val="1006"/>
        </w:numPr>
      </w:pPr>
      <w:r>
        <w:t xml:space="preserve">The boolean-circuit result is memorable and genuinely expands the conceptual scope beyond standard deep-learning evaluations.</w:t>
      </w:r>
    </w:p>
    <w:p>
      <w:pPr>
        <w:pStyle w:val="Compact"/>
        <w:numPr>
          <w:ilvl w:val="0"/>
          <w:numId w:val="1006"/>
        </w:numPr>
      </w:pPr>
      <w:r>
        <w:t xml:space="preserve">The work could become a useful diagnostic if practical implications are established.</w:t>
      </w:r>
    </w:p>
    <w:p>
      <w:pPr>
        <w:pStyle w:val="FirstParagraph"/>
      </w:pPr>
      <w:r>
        <w:rPr>
          <w:b/>
          <w:bCs/>
        </w:rPr>
        <w:t xml:space="preserve">Weaknesses</w:t>
      </w:r>
    </w:p>
    <w:p>
      <w:pPr>
        <w:pStyle w:val="Compact"/>
        <w:numPr>
          <w:ilvl w:val="0"/>
          <w:numId w:val="1007"/>
        </w:numPr>
      </w:pPr>
      <w:r>
        <w:t xml:space="preserve">There is no strong downstream “so what” yet: no pruning, optimization, generalization, or architecture-selection use case is demonstrated.</w:t>
      </w:r>
    </w:p>
    <w:p>
      <w:pPr>
        <w:pStyle w:val="Compact"/>
        <w:numPr>
          <w:ilvl w:val="0"/>
          <w:numId w:val="1007"/>
        </w:numPr>
      </w:pPr>
      <w:r>
        <w:t xml:space="preserve">Significance depends heavily on the universality claim surviving stronger tests.</w:t>
      </w:r>
    </w:p>
    <w:p>
      <w:pPr>
        <w:pStyle w:val="Compact"/>
        <w:numPr>
          <w:ilvl w:val="0"/>
          <w:numId w:val="1007"/>
        </w:numPr>
      </w:pPr>
      <w:r>
        <w:t xml:space="preserve">Some of the paper’s impact pitch leans on conceptual breadth more than demonstrated utility.</w:t>
      </w:r>
    </w:p>
    <w:p>
      <w:pPr>
        <w:pStyle w:val="FirstParagraph"/>
      </w:pPr>
      <w:r>
        <w:rPr>
          <w:b/>
          <w:bCs/>
        </w:rPr>
        <w:t xml:space="preserve">Priority improvements</w:t>
      </w:r>
      <w:r>
        <w:t xml:space="preserve"> </w:t>
      </w:r>
      <w:r>
        <w:t xml:space="preserve">1. Add one</w:t>
      </w:r>
      <w:r>
        <w:t xml:space="preserve"> </w:t>
      </w:r>
      <w:r>
        <w:rPr>
          <w:b/>
          <w:bCs/>
        </w:rPr>
        <w:t xml:space="preserve">downstream utility study</w:t>
      </w:r>
      <w:r>
        <w:t xml:space="preserve">: pruning, optimizer tuning, checkpoint diagnosis, or architecture screening.</w:t>
      </w:r>
      <w:r>
        <w:t xml:space="preserve"> </w:t>
      </w:r>
      <w:r>
        <w:t xml:space="preserve">2. Show whether</w:t>
      </w:r>
      <w:r>
        <w:t xml:space="preserve"> </w:t>
      </w:r>
      <m:oMath>
        <m:r>
          <m:t>T</m:t>
        </m:r>
        <m:r>
          <m:t>1</m:t>
        </m:r>
        <m:r>
          <m:rPr>
            <m:sty m:val="p"/>
          </m:rPr>
          <m:t>/</m:t>
        </m:r>
        <m:r>
          <m:t>T</m:t>
        </m:r>
        <m:r>
          <m:t>3</m:t>
        </m:r>
      </m:oMath>
      <w:r>
        <w:t xml:space="preserve"> </w:t>
      </w:r>
      <w:r>
        <w:t xml:space="preserve">correlates with trainability, gradient stability, or generalization across controlled models.</w:t>
      </w:r>
      <w:r>
        <w:t xml:space="preserve"> </w:t>
      </w:r>
      <w:r>
        <w:t xml:space="preserve">3. Tighten the impact claim to what a NeurIPS audience would concretely do with this statistic.</w:t>
      </w:r>
      <w:r>
        <w:t xml:space="preserve"> </w:t>
      </w:r>
      <w:r>
        <w:t xml:space="preserve">4. Provide one “failure case” where the statistic does</w:t>
      </w:r>
      <w:r>
        <w:t xml:space="preserve"> </w:t>
      </w:r>
      <w:r>
        <w:rPr>
          <w:b/>
          <w:bCs/>
        </w:rPr>
        <w:t xml:space="preserve">not</w:t>
      </w:r>
      <w:r>
        <w:t xml:space="preserve"> </w:t>
      </w:r>
      <w:r>
        <w:t xml:space="preserve">predict something useful, to calibrate expectations.</w:t>
      </w:r>
    </w:p>
    <w:p>
      <w:pPr>
        <w:pStyle w:val="BodyText"/>
      </w:pPr>
      <w:r>
        <w:rPr>
          <w:b/>
          <w:bCs/>
        </w:rPr>
        <w:t xml:space="preserve">Clarity and presentation — 5.0/10</w:t>
      </w:r>
    </w:p>
    <w:p>
      <w:pPr>
        <w:pStyle w:val="BodyText"/>
      </w:pPr>
      <w:r>
        <w:t xml:space="preserve">The paper is understandable at a high level, and the contribution bullets help. But it is densely packed, uses many internal experiment tags, moves quickly across many substrate families, and does not always distinguish theorem-backed claims from empirical extrapolation as sharply as it should. Current NeurIPS guidance puts a premium on papers being readable enough for experts to reproduce them; this paper is not there yet based on the provided PDFs alone. fileciteturn0file0L37-L43 fileciteturn0file0L207-L230</w:t>
      </w:r>
      <w:r>
        <w:t xml:space="preserve"> </w:t>
      </w:r>
      <w:hyperlink r:id="rId21">
        <w:r>
          <w:rPr>
            <w:rStyle w:val="Hyperlink"/>
          </w:rPr>
          <w:t xml:space="preserve">[5]</w:t>
        </w:r>
      </w:hyperlink>
    </w:p>
    <w:p>
      <w:pPr>
        <w:pStyle w:val="BodyText"/>
      </w:pPr>
      <w:r>
        <w:rPr>
          <w:b/>
          <w:bCs/>
        </w:rPr>
        <w:t xml:space="preserve">Strengths</w:t>
      </w:r>
    </w:p>
    <w:p>
      <w:pPr>
        <w:pStyle w:val="Compact"/>
        <w:numPr>
          <w:ilvl w:val="0"/>
          <w:numId w:val="1008"/>
        </w:numPr>
      </w:pPr>
      <w:r>
        <w:t xml:space="preserve">The main contributions are explicitly enumerated.</w:t>
      </w:r>
    </w:p>
    <w:p>
      <w:pPr>
        <w:pStyle w:val="Compact"/>
        <w:numPr>
          <w:ilvl w:val="0"/>
          <w:numId w:val="1008"/>
        </w:numPr>
      </w:pPr>
      <w:r>
        <w:t xml:space="preserve">The paper repeatedly states limitations and narrowing cases rather than implying universal success.</w:t>
      </w:r>
    </w:p>
    <w:p>
      <w:pPr>
        <w:pStyle w:val="Compact"/>
        <w:numPr>
          <w:ilvl w:val="0"/>
          <w:numId w:val="1008"/>
        </w:numPr>
      </w:pPr>
      <w:r>
        <w:t xml:space="preserve">The falsifier framing is easy to follow conceptually.</w:t>
      </w:r>
    </w:p>
    <w:p>
      <w:pPr>
        <w:pStyle w:val="FirstParagraph"/>
      </w:pPr>
      <w:r>
        <w:rPr>
          <w:b/>
          <w:bCs/>
        </w:rPr>
        <w:t xml:space="preserve">Weaknesses</w:t>
      </w:r>
    </w:p>
    <w:p>
      <w:pPr>
        <w:pStyle w:val="Compact"/>
        <w:numPr>
          <w:ilvl w:val="0"/>
          <w:numId w:val="1009"/>
        </w:numPr>
      </w:pPr>
      <w:r>
        <w:t xml:space="preserve">The narrative is overcompressed; too many claims are made in too little space.</w:t>
      </w:r>
    </w:p>
    <w:p>
      <w:pPr>
        <w:pStyle w:val="Compact"/>
        <w:numPr>
          <w:ilvl w:val="0"/>
          <w:numId w:val="1009"/>
        </w:numPr>
      </w:pPr>
      <w:r>
        <w:t xml:space="preserve">Version-like labels such as V9/V9.3/V9.4 are not reader-friendly in the main narrative.</w:t>
      </w:r>
    </w:p>
    <w:p>
      <w:pPr>
        <w:pStyle w:val="Compact"/>
        <w:numPr>
          <w:ilvl w:val="0"/>
          <w:numId w:val="1009"/>
        </w:numPr>
      </w:pPr>
      <w:r>
        <w:t xml:space="preserve">The theorem/proposition/empirical-claim hierarchy is not cleanly separated in the prose.</w:t>
      </w:r>
    </w:p>
    <w:p>
      <w:pPr>
        <w:pStyle w:val="Compact"/>
        <w:numPr>
          <w:ilvl w:val="0"/>
          <w:numId w:val="1009"/>
        </w:numPr>
      </w:pPr>
      <w:r>
        <w:t xml:space="preserve">Some major numbers appear without enough protocol detail nearby.</w:t>
      </w:r>
    </w:p>
    <w:p>
      <w:pPr>
        <w:pStyle w:val="FirstParagraph"/>
      </w:pPr>
      <w:r>
        <w:rPr>
          <w:b/>
          <w:bCs/>
        </w:rPr>
        <w:t xml:space="preserve">Priority improvements</w:t>
      </w:r>
      <w:r>
        <w:t xml:space="preserve"> </w:t>
      </w:r>
      <w:r>
        <w:t xml:space="preserve">1. Add a</w:t>
      </w:r>
      <w:r>
        <w:t xml:space="preserve"> </w:t>
      </w:r>
      <w:r>
        <w:rPr>
          <w:b/>
          <w:bCs/>
        </w:rPr>
        <w:t xml:space="preserve">claim hierarchy figure</w:t>
      </w:r>
      <w:r>
        <w:t xml:space="preserve">: theorem scope, empirical scope, boundary cases, and out-of-scope claims.</w:t>
      </w:r>
      <w:r>
        <w:t xml:space="preserve"> </w:t>
      </w:r>
      <w:r>
        <w:t xml:space="preserve">2. Replace V-style internal run names in the main text with descriptive labels.</w:t>
      </w:r>
      <w:r>
        <w:t xml:space="preserve"> </w:t>
      </w:r>
      <w:r>
        <w:t xml:space="preserve">3. Add one protocol table near the front: tasks, data, models, seeds, probes, hardware, and what exactly was measured.</w:t>
      </w:r>
      <w:r>
        <w:t xml:space="preserve"> </w:t>
      </w:r>
      <w:r>
        <w:t xml:space="preserve">4. Move secondary framing and long related-work asides to the supplement.</w:t>
      </w:r>
    </w:p>
    <w:p>
      <w:pPr>
        <w:pStyle w:val="BodyText"/>
      </w:pPr>
      <w:r>
        <w:rPr>
          <w:b/>
          <w:bCs/>
        </w:rPr>
        <w:t xml:space="preserve">Experimental rigor and reproducibility — 5.5/10</w:t>
      </w:r>
    </w:p>
    <w:p>
      <w:pPr>
        <w:pStyle w:val="BodyText"/>
      </w:pPr>
      <w:r>
        <w:t xml:space="preserve">On paper, the supplementary material is unusually artifact-conscious: it claims a public anonymous repository, pinned dependencies, deterministic settings, seed maps, Docker/Conda environments, and a machine-readable claim manifest. That is excellent in principle. In practice, the review package here does not include the checklist or runnable artifacts, and the most important production-scale claims are not yet backed by the same level of visible replication detail as the small-scale panel. fileciteturn0file1L154-L193 fileciteturn0file1L81-L95 fileciteturn0file0L223-L249</w:t>
      </w:r>
    </w:p>
    <w:p>
      <w:pPr>
        <w:pStyle w:val="BodyText"/>
      </w:pPr>
      <w:r>
        <w:rPr>
          <w:b/>
          <w:bCs/>
        </w:rPr>
        <w:t xml:space="preserve">Strengths</w:t>
      </w:r>
    </w:p>
    <w:p>
      <w:pPr>
        <w:pStyle w:val="Compact"/>
        <w:numPr>
          <w:ilvl w:val="0"/>
          <w:numId w:val="1010"/>
        </w:numPr>
      </w:pPr>
      <w:r>
        <w:t xml:space="preserve">The supplement shows the right instincts: environment pinning, deterministic flags, scripts, and claim-to-artifact mapping.</w:t>
      </w:r>
    </w:p>
    <w:p>
      <w:pPr>
        <w:pStyle w:val="Compact"/>
        <w:numPr>
          <w:ilvl w:val="0"/>
          <w:numId w:val="1010"/>
        </w:numPr>
      </w:pPr>
      <w:r>
        <w:t xml:space="preserve">Probe-count and dtype convergence checks are strong reproducibility signals.</w:t>
      </w:r>
    </w:p>
    <w:p>
      <w:pPr>
        <w:pStyle w:val="Compact"/>
        <w:numPr>
          <w:ilvl w:val="0"/>
          <w:numId w:val="1010"/>
        </w:numPr>
      </w:pPr>
      <w:r>
        <w:t xml:space="preserve">The cost reporting is helpful and concrete.</w:t>
      </w:r>
    </w:p>
    <w:p>
      <w:pPr>
        <w:pStyle w:val="FirstParagraph"/>
      </w:pPr>
      <w:r>
        <w:rPr>
          <w:b/>
          <w:bCs/>
        </w:rPr>
        <w:t xml:space="preserve">Weaknesses</w:t>
      </w:r>
    </w:p>
    <w:p>
      <w:pPr>
        <w:pStyle w:val="Compact"/>
        <w:numPr>
          <w:ilvl w:val="0"/>
          <w:numId w:val="1011"/>
        </w:numPr>
      </w:pPr>
      <w:r>
        <w:t xml:space="preserve">The actual checklist is not present in the provided materials.</w:t>
      </w:r>
    </w:p>
    <w:p>
      <w:pPr>
        <w:pStyle w:val="Compact"/>
        <w:numPr>
          <w:ilvl w:val="0"/>
          <w:numId w:val="1011"/>
        </w:numPr>
      </w:pPr>
      <w:r>
        <w:t xml:space="preserve">The claimed artifact bundle was not directly inspectable here, so reproducibility cannot be fully verified.</w:t>
      </w:r>
    </w:p>
    <w:p>
      <w:pPr>
        <w:pStyle w:val="Compact"/>
        <w:numPr>
          <w:ilvl w:val="0"/>
          <w:numId w:val="1011"/>
        </w:numPr>
      </w:pPr>
      <w:r>
        <w:t xml:space="preserve">Production-scale points lack visible multi-seed treatment and full provenance details in the supplied PDFs.</w:t>
      </w:r>
    </w:p>
    <w:p>
      <w:pPr>
        <w:pStyle w:val="Compact"/>
        <w:numPr>
          <w:ilvl w:val="0"/>
          <w:numId w:val="1011"/>
        </w:numPr>
      </w:pPr>
      <w:r>
        <w:t xml:space="preserve">The supplement contains language that appears in tension with the main paper about the status of production-scale ImageNet/GPT-2 experiments. fileciteturn0file0L223-L230 fileciteturn0file1L181-L193</w:t>
      </w:r>
    </w:p>
    <w:p>
      <w:pPr>
        <w:pStyle w:val="FirstParagraph"/>
      </w:pPr>
      <w:r>
        <w:rPr>
          <w:b/>
          <w:bCs/>
        </w:rPr>
        <w:t xml:space="preserve">Priority improvements</w:t>
      </w:r>
      <w:r>
        <w:t xml:space="preserve"> </w:t>
      </w:r>
      <w:r>
        <w:t xml:space="preserve">1. Provide the actual anonymous artifact archive, not just its description.</w:t>
      </w:r>
      <w:r>
        <w:t xml:space="preserve"> </w:t>
      </w:r>
      <w:r>
        <w:t xml:space="preserve">2. Include the filled-out NeurIPS checklist in the review package.</w:t>
      </w:r>
      <w:r>
        <w:t xml:space="preserve"> </w:t>
      </w:r>
      <w:r>
        <w:t xml:space="preserve">3. Add raw per-seed JSON outputs or a compact appendix table for all panel systems.</w:t>
      </w:r>
      <w:r>
        <w:t xml:space="preserve"> </w:t>
      </w:r>
      <w:r>
        <w:t xml:space="preserve">4. State exact checkpoint provenance for all pretrained models and exact command lines used to compute FIM diagonals.</w:t>
      </w:r>
      <w:r>
        <w:t xml:space="preserve"> </w:t>
      </w:r>
      <w:r>
        <w:t xml:space="preserve">5. Add confidence intervals or repeated-estimation variability for the production-scale points.</w:t>
      </w:r>
    </w:p>
    <w:p>
      <w:pPr>
        <w:pStyle w:val="BodyText"/>
      </w:pPr>
      <w:r>
        <w:rPr>
          <w:b/>
          <w:bCs/>
        </w:rPr>
        <w:t xml:space="preserve">Baselines and comparisons — 4.8/10</w:t>
      </w:r>
    </w:p>
    <w:p>
      <w:pPr>
        <w:pStyle w:val="BodyText"/>
      </w:pPr>
      <w:r>
        <w:t xml:space="preserve">The paper compares across many substrate classes, which is valuable, but the most important baseline question at NeurIPS is not only “does this separate deep vs non-deep panels?” It is also “does this add something beyond the closest prior observables, in the same setting, on the same networks?” That second question is not yet answered decisively. fileciteturn0file1L42-L50 fileciteturn0file0L184-L205</w:t>
      </w:r>
      <w:r>
        <w:t xml:space="preserve"> </w:t>
      </w:r>
      <w:hyperlink r:id="rId25">
        <w:r>
          <w:rPr>
            <w:rStyle w:val="Hyperlink"/>
          </w:rPr>
          <w:t xml:space="preserve">[6]</w:t>
        </w:r>
      </w:hyperlink>
    </w:p>
    <w:p>
      <w:pPr>
        <w:pStyle w:val="BodyText"/>
      </w:pPr>
      <w:r>
        <w:rPr>
          <w:b/>
          <w:bCs/>
        </w:rPr>
        <w:t xml:space="preserve">Strengths</w:t>
      </w:r>
    </w:p>
    <w:p>
      <w:pPr>
        <w:pStyle w:val="Compact"/>
        <w:numPr>
          <w:ilvl w:val="0"/>
          <w:numId w:val="1012"/>
        </w:numPr>
      </w:pPr>
      <w:r>
        <w:t xml:space="preserve">The null panel is wider than usual and includes both neural and non-neural systems.</w:t>
      </w:r>
    </w:p>
    <w:p>
      <w:pPr>
        <w:pStyle w:val="Compact"/>
        <w:numPr>
          <w:ilvl w:val="0"/>
          <w:numId w:val="1012"/>
        </w:numPr>
      </w:pPr>
      <w:r>
        <w:t xml:space="preserve">The contrast between trained and untrained neural systems is informative.</w:t>
      </w:r>
    </w:p>
    <w:p>
      <w:pPr>
        <w:pStyle w:val="Compact"/>
        <w:numPr>
          <w:ilvl w:val="0"/>
          <w:numId w:val="1012"/>
        </w:numPr>
      </w:pPr>
      <w:r>
        <w:t xml:space="preserve">The paper at least acknowledges nearby observables and explains them narratively.</w:t>
      </w:r>
    </w:p>
    <w:p>
      <w:pPr>
        <w:pStyle w:val="FirstParagraph"/>
      </w:pPr>
      <w:r>
        <w:rPr>
          <w:b/>
          <w:bCs/>
        </w:rPr>
        <w:t xml:space="preserve">Weaknesses</w:t>
      </w:r>
    </w:p>
    <w:p>
      <w:pPr>
        <w:pStyle w:val="Compact"/>
        <w:numPr>
          <w:ilvl w:val="0"/>
          <w:numId w:val="1013"/>
        </w:numPr>
      </w:pPr>
      <w:r>
        <w:t xml:space="preserve">The comparison to FIM spectrum, Hessian hierarchy, and weight spectra is mostly descriptive, not experimental.</w:t>
      </w:r>
    </w:p>
    <w:p>
      <w:pPr>
        <w:pStyle w:val="Compact"/>
        <w:numPr>
          <w:ilvl w:val="0"/>
          <w:numId w:val="1013"/>
        </w:numPr>
      </w:pPr>
      <w:r>
        <w:t xml:space="preserve">Several non-neural baselines are conceptually interesting but do not substitute for same-setting deep-learning baselines.</w:t>
      </w:r>
    </w:p>
    <w:p>
      <w:pPr>
        <w:pStyle w:val="Compact"/>
        <w:numPr>
          <w:ilvl w:val="0"/>
          <w:numId w:val="1013"/>
        </w:numPr>
      </w:pPr>
      <w:r>
        <w:t xml:space="preserve">The paper does not compare against simpler diagnostics such as gradient norm concentration or layerwise Jacobian statistics on the same models.</w:t>
      </w:r>
    </w:p>
    <w:p>
      <w:pPr>
        <w:pStyle w:val="FirstParagraph"/>
      </w:pPr>
      <w:r>
        <w:rPr>
          <w:b/>
          <w:bCs/>
        </w:rPr>
        <w:t xml:space="preserve">Priority improvements</w:t>
      </w:r>
      <w:r>
        <w:t xml:space="preserve"> </w:t>
      </w:r>
      <w:r>
        <w:t xml:space="preserve">1. Run</w:t>
      </w:r>
      <w:r>
        <w:t xml:space="preserve"> </w:t>
      </w:r>
      <w:r>
        <w:rPr>
          <w:b/>
          <w:bCs/>
        </w:rPr>
        <w:t xml:space="preserve">FIM spectrum, Hessian-outlier, weight-spectrum, and gradient-statistic</w:t>
      </w:r>
      <w:r>
        <w:t xml:space="preserve"> </w:t>
      </w:r>
      <w:r>
        <w:t xml:space="preserve">baselines on the same MLP/CNN/ViT/ResNet checkpoints.</w:t>
      </w:r>
      <w:r>
        <w:t xml:space="preserve"> </w:t>
      </w:r>
      <w:r>
        <w:t xml:space="preserve">2. Add matched architecture controls that isolate depth, residual connections, gating, and width.</w:t>
      </w:r>
      <w:r>
        <w:t xml:space="preserve"> </w:t>
      </w:r>
      <w:r>
        <w:t xml:space="preserve">3. Show where</w:t>
      </w:r>
      <w:r>
        <w:t xml:space="preserve"> </w:t>
      </w:r>
      <m:oMath>
        <m:r>
          <m:t>T</m:t>
        </m:r>
        <m:r>
          <m:t>1</m:t>
        </m:r>
        <m:r>
          <m:rPr>
            <m:sty m:val="p"/>
          </m:rPr>
          <m:t>/</m:t>
        </m:r>
        <m:r>
          <m:t>T</m:t>
        </m:r>
        <m:r>
          <m:t>3</m:t>
        </m:r>
      </m:oMath>
      <w:r>
        <w:t xml:space="preserve"> </w:t>
      </w:r>
      <w:r>
        <w:t xml:space="preserve">succeeds and where alternative observables succeed better.</w:t>
      </w:r>
      <w:r>
        <w:t xml:space="preserve"> </w:t>
      </w:r>
      <w:r>
        <w:t xml:space="preserve">4. Report failures, not only victories, in a single comparison table.</w:t>
      </w:r>
    </w:p>
    <w:p>
      <w:pPr>
        <w:pStyle w:val="BodyText"/>
      </w:pPr>
      <w:r>
        <w:rPr>
          <w:b/>
          <w:bCs/>
        </w:rPr>
        <w:t xml:space="preserve">Ablation studies — 6.0/10</w:t>
      </w:r>
    </w:p>
    <w:p>
      <w:pPr>
        <w:pStyle w:val="BodyText"/>
      </w:pPr>
      <w:r>
        <w:t xml:space="preserve">Relative to many theory-heavy papers, the ablation culture is better than average: estimator convergence, threshold sensitivity, leave-one-substrate-out, tied vs untied embeddings, temporal vs depth composition, and Mamba gating all count as meaningful stress tests. The problem is that the most important causal ablations remain missing. fileciteturn0file1L81-L95 fileciteturn0file1L102-L138 fileciteturn0file0L214-L230</w:t>
      </w:r>
    </w:p>
    <w:p>
      <w:pPr>
        <w:pStyle w:val="BodyText"/>
      </w:pPr>
      <w:r>
        <w:rPr>
          <w:b/>
          <w:bCs/>
        </w:rPr>
        <w:t xml:space="preserve">Strengths</w:t>
      </w:r>
    </w:p>
    <w:p>
      <w:pPr>
        <w:pStyle w:val="Compact"/>
        <w:numPr>
          <w:ilvl w:val="0"/>
          <w:numId w:val="1014"/>
        </w:numPr>
      </w:pPr>
      <w:r>
        <w:t xml:space="preserve">The paper checks probe count and dtype sensitivity rather than burying them.</w:t>
      </w:r>
    </w:p>
    <w:p>
      <w:pPr>
        <w:pStyle w:val="Compact"/>
        <w:numPr>
          <w:ilvl w:val="0"/>
          <w:numId w:val="1014"/>
        </w:numPr>
      </w:pPr>
      <w:r>
        <w:t xml:space="preserve">The attention/RNN/LSTM/Mamba boundary cases are good scientific practice.</w:t>
      </w:r>
    </w:p>
    <w:p>
      <w:pPr>
        <w:pStyle w:val="Compact"/>
        <w:numPr>
          <w:ilvl w:val="0"/>
          <w:numId w:val="1014"/>
        </w:numPr>
      </w:pPr>
      <w:r>
        <w:t xml:space="preserve">Threshold sensitivity and leave-one-class-out robustness directly address likely reviewer concerns.</w:t>
      </w:r>
    </w:p>
    <w:p>
      <w:pPr>
        <w:pStyle w:val="FirstParagraph"/>
      </w:pPr>
      <w:r>
        <w:rPr>
          <w:b/>
          <w:bCs/>
        </w:rPr>
        <w:t xml:space="preserve">Weaknesses</w:t>
      </w:r>
    </w:p>
    <w:p>
      <w:pPr>
        <w:pStyle w:val="Compact"/>
        <w:numPr>
          <w:ilvl w:val="0"/>
          <w:numId w:val="1015"/>
        </w:numPr>
      </w:pPr>
      <w:r>
        <w:t xml:space="preserve">There is no dynamical-isometry or initialization-family ablation, even though the paper itself identifies that as a clean falsifier.</w:t>
      </w:r>
    </w:p>
    <w:p>
      <w:pPr>
        <w:pStyle w:val="Compact"/>
        <w:numPr>
          <w:ilvl w:val="0"/>
          <w:numId w:val="1015"/>
        </w:numPr>
      </w:pPr>
      <w:r>
        <w:t xml:space="preserve">There is no direct ablation isolating residual streams, normalization, or depth while holding other factors fixed.</w:t>
      </w:r>
    </w:p>
    <w:p>
      <w:pPr>
        <w:pStyle w:val="Compact"/>
        <w:numPr>
          <w:ilvl w:val="0"/>
          <w:numId w:val="1015"/>
        </w:numPr>
      </w:pPr>
      <w:r>
        <w:t xml:space="preserve">The partition choice for T1/T3 is defended statistically, but not fully causally justified.</w:t>
      </w:r>
    </w:p>
    <w:p>
      <w:pPr>
        <w:pStyle w:val="FirstParagraph"/>
      </w:pPr>
      <w:r>
        <w:rPr>
          <w:b/>
          <w:bCs/>
        </w:rPr>
        <w:t xml:space="preserve">Priority improvements</w:t>
      </w:r>
      <w:r>
        <w:t xml:space="preserve"> </w:t>
      </w:r>
      <w:r>
        <w:t xml:space="preserve">1. Add the paper’s own proposed</w:t>
      </w:r>
      <w:r>
        <w:t xml:space="preserve"> </w:t>
      </w:r>
      <w:r>
        <w:rPr>
          <w:b/>
          <w:bCs/>
        </w:rPr>
        <w:t xml:space="preserve">dynamical-isometry falsifier</w:t>
      </w:r>
      <w:r>
        <w:t xml:space="preserve">.</w:t>
      </w:r>
      <w:r>
        <w:t xml:space="preserve"> </w:t>
      </w:r>
      <w:r>
        <w:t xml:space="preserve">2. Run residual/no-residual, LayerNorm/no-LayerNorm, and depth-matched architecture ablations.</w:t>
      </w:r>
      <w:r>
        <w:t xml:space="preserve"> </w:t>
      </w:r>
      <w:r>
        <w:t xml:space="preserve">3. Sweep alternative quantile partitions and report stability of the substantive conclusion.</w:t>
      </w:r>
      <w:r>
        <w:t xml:space="preserve"> </w:t>
      </w:r>
      <w:r>
        <w:t xml:space="preserve">4. Add per-layer and per-module decompositions to show where concentration is formed.</w:t>
      </w:r>
    </w:p>
    <w:p>
      <w:pPr>
        <w:pStyle w:val="BodyText"/>
      </w:pPr>
      <w:r>
        <w:rPr>
          <w:b/>
          <w:bCs/>
        </w:rPr>
        <w:t xml:space="preserve">Theoretical soundness — 5.5/10</w:t>
      </w:r>
    </w:p>
    <w:p>
      <w:pPr>
        <w:pStyle w:val="BodyText"/>
      </w:pPr>
      <w:r>
        <w:t xml:space="preserve">The cleanest theory contribution is the generic finite-</w:t>
      </w:r>
      <m:oMath>
        <m:r>
          <m:t>v</m:t>
        </m:r>
      </m:oMath>
      <w:r>
        <w:t xml:space="preserve"> </w:t>
      </w:r>
      <w:r>
        <w:t xml:space="preserve">log-normal tier-ratio identity and its asymptotic scaling form. That part is credible and neatly stated. The weaker part is the bridge from this generic theorem, plus Hanin–Nica’s random ReLU MLP result, to the broader empirical claim across trained networks, residual architectures, attention, and non-neural substrates. The paper acknowledges this gap, but the title and framing still lean too hard on the generalized conclusion. fileciteturn0file0L56-L68 fileciteturn0file0L207-L230 fileciteturn0file1L211-L253</w:t>
      </w:r>
      <w:r>
        <w:t xml:space="preserve"> </w:t>
      </w:r>
      <w:hyperlink r:id="rId26">
        <w:r>
          <w:rPr>
            <w:rStyle w:val="Hyperlink"/>
          </w:rPr>
          <w:t xml:space="preserve">[7]</w:t>
        </w:r>
      </w:hyperlink>
    </w:p>
    <w:p>
      <w:pPr>
        <w:pStyle w:val="BodyText"/>
      </w:pPr>
      <w:r>
        <w:rPr>
          <w:b/>
          <w:bCs/>
        </w:rPr>
        <w:t xml:space="preserve">Strengths</w:t>
      </w:r>
    </w:p>
    <w:p>
      <w:pPr>
        <w:pStyle w:val="Compact"/>
        <w:numPr>
          <w:ilvl w:val="0"/>
          <w:numId w:val="1016"/>
        </w:numPr>
      </w:pPr>
      <w:r>
        <w:t xml:space="preserve">Theorem 1 / 1’ is concrete and interpretable.</w:t>
      </w:r>
    </w:p>
    <w:p>
      <w:pPr>
        <w:pStyle w:val="Compact"/>
        <w:numPr>
          <w:ilvl w:val="0"/>
          <w:numId w:val="1016"/>
        </w:numPr>
      </w:pPr>
      <w:r>
        <w:t xml:space="preserve">The paper explicitly states where Hanin–Nica assumptions do and do not apply.</w:t>
      </w:r>
    </w:p>
    <w:p>
      <w:pPr>
        <w:pStyle w:val="Compact"/>
        <w:numPr>
          <w:ilvl w:val="0"/>
          <w:numId w:val="1016"/>
        </w:numPr>
      </w:pPr>
      <w:r>
        <w:t xml:space="preserve">The pooling-error discussion is the right kind of technical caveat to include.</w:t>
      </w:r>
    </w:p>
    <w:p>
      <w:pPr>
        <w:pStyle w:val="FirstParagraph"/>
      </w:pPr>
      <w:r>
        <w:rPr>
          <w:b/>
          <w:bCs/>
        </w:rPr>
        <w:t xml:space="preserve">Weaknesses</w:t>
      </w:r>
    </w:p>
    <w:p>
      <w:pPr>
        <w:pStyle w:val="Compact"/>
        <w:numPr>
          <w:ilvl w:val="0"/>
          <w:numId w:val="1017"/>
        </w:numPr>
      </w:pPr>
      <w:r>
        <w:t xml:space="preserve">The main theoretically justified regime is much narrower than the sweep of architectures in the empirical section.</w:t>
      </w:r>
    </w:p>
    <w:p>
      <w:pPr>
        <w:pStyle w:val="Compact"/>
        <w:numPr>
          <w:ilvl w:val="0"/>
          <w:numId w:val="1017"/>
        </w:numPr>
      </w:pPr>
      <w:r>
        <w:t xml:space="preserve">The finite-width and mixture-of-layers approximations are not fully convincing for the broadest claims.</w:t>
      </w:r>
    </w:p>
    <w:p>
      <w:pPr>
        <w:pStyle w:val="Compact"/>
        <w:numPr>
          <w:ilvl w:val="0"/>
          <w:numId w:val="1017"/>
        </w:numPr>
      </w:pPr>
      <w:r>
        <w:t xml:space="preserve">Several claims are “theory-inspired empirics” rather than theorems, but the presentation sometimes blurs the line.</w:t>
      </w:r>
    </w:p>
    <w:p>
      <w:pPr>
        <w:pStyle w:val="FirstParagraph"/>
      </w:pPr>
      <w:r>
        <w:rPr>
          <w:b/>
          <w:bCs/>
        </w:rPr>
        <w:t xml:space="preserve">Priority improvements</w:t>
      </w:r>
      <w:r>
        <w:t xml:space="preserve"> </w:t>
      </w:r>
      <w:r>
        <w:t xml:space="preserve">1. Add a</w:t>
      </w:r>
      <w:r>
        <w:t xml:space="preserve"> </w:t>
      </w:r>
      <w:r>
        <w:rPr>
          <w:b/>
          <w:bCs/>
        </w:rPr>
        <w:t xml:space="preserve">scope table</w:t>
      </w:r>
      <w:r>
        <w:t xml:space="preserve"> </w:t>
      </w:r>
      <w:r>
        <w:t xml:space="preserve">with three columns: proved, empirically supported, speculative.</w:t>
      </w:r>
      <w:r>
        <w:t xml:space="preserve"> </w:t>
      </w:r>
      <w:r>
        <w:t xml:space="preserve">2. Expand the proof appendix and provide a sharper finite-width discussion.</w:t>
      </w:r>
      <w:r>
        <w:t xml:space="preserve"> </w:t>
      </w:r>
      <w:r>
        <w:t xml:space="preserve">3. Downgrade any wording that implies theorem-level support for residual, attention, or SSM architectures.</w:t>
      </w:r>
      <w:r>
        <w:t xml:space="preserve"> </w:t>
      </w:r>
      <w:r>
        <w:t xml:space="preserve">4. Add synthetic simulations that deliberately violate the theorem assumptions to show where the bridge breaks.</w:t>
      </w:r>
    </w:p>
    <w:p>
      <w:pPr>
        <w:pStyle w:val="BodyText"/>
      </w:pPr>
      <w:r>
        <w:rPr>
          <w:b/>
          <w:bCs/>
        </w:rPr>
        <w:t xml:space="preserve">Ethical considerations and societal impact — 7.0/10</w:t>
      </w:r>
    </w:p>
    <w:p>
      <w:pPr>
        <w:pStyle w:val="BodyText"/>
      </w:pPr>
      <w:r>
        <w:t xml:space="preserve">This is low-risk work, and the paper appropriately notes that it is diagnostic rather than deployment-oriented. That said, the broader-impact treatment is too brief for a paper that touches pretrained models and large-scale artifacts. NeurIPS ethics guidance asks authors to consider not only direct harms but also environmental impact, data provenance, and mitigation framing when relevant. fileciteturn0file0L257-L263</w:t>
      </w:r>
      <w:r>
        <w:t xml:space="preserve"> </w:t>
      </w:r>
      <w:hyperlink r:id="rId27">
        <w:r>
          <w:rPr>
            <w:rStyle w:val="Hyperlink"/>
          </w:rPr>
          <w:t xml:space="preserve">[8]</w:t>
        </w:r>
      </w:hyperlink>
    </w:p>
    <w:p>
      <w:pPr>
        <w:pStyle w:val="BodyText"/>
      </w:pPr>
      <w:r>
        <w:rPr>
          <w:b/>
          <w:bCs/>
        </w:rPr>
        <w:t xml:space="preserve">Strengths</w:t>
      </w:r>
    </w:p>
    <w:p>
      <w:pPr>
        <w:pStyle w:val="Compact"/>
        <w:numPr>
          <w:ilvl w:val="0"/>
          <w:numId w:val="1018"/>
        </w:numPr>
      </w:pPr>
      <w:r>
        <w:t xml:space="preserve">No obvious direct misuse case dominates the paper.</w:t>
      </w:r>
    </w:p>
    <w:p>
      <w:pPr>
        <w:pStyle w:val="Compact"/>
        <w:numPr>
          <w:ilvl w:val="0"/>
          <w:numId w:val="1018"/>
        </w:numPr>
      </w:pPr>
      <w:r>
        <w:t xml:space="preserve">The work does not involve new human-subject collection.</w:t>
      </w:r>
    </w:p>
    <w:p>
      <w:pPr>
        <w:pStyle w:val="Compact"/>
        <w:numPr>
          <w:ilvl w:val="0"/>
          <w:numId w:val="1018"/>
        </w:numPr>
      </w:pPr>
      <w:r>
        <w:t xml:space="preserve">The authors at least acknowledge the broader-impact requirement rather than ignoring it.</w:t>
      </w:r>
    </w:p>
    <w:p>
      <w:pPr>
        <w:pStyle w:val="FirstParagraph"/>
      </w:pPr>
      <w:r>
        <w:rPr>
          <w:b/>
          <w:bCs/>
        </w:rPr>
        <w:t xml:space="preserve">Weaknesses</w:t>
      </w:r>
    </w:p>
    <w:p>
      <w:pPr>
        <w:pStyle w:val="Compact"/>
        <w:numPr>
          <w:ilvl w:val="0"/>
          <w:numId w:val="1019"/>
        </w:numPr>
      </w:pPr>
      <w:r>
        <w:t xml:space="preserve">The broader-impact section is thin and somewhat dismissive.</w:t>
      </w:r>
    </w:p>
    <w:p>
      <w:pPr>
        <w:pStyle w:val="Compact"/>
        <w:numPr>
          <w:ilvl w:val="0"/>
          <w:numId w:val="1019"/>
        </w:numPr>
      </w:pPr>
      <w:r>
        <w:t xml:space="preserve">The use of production-scale pretrained checkpoints raises provenance questions that are not discussed clearly.</w:t>
      </w:r>
    </w:p>
    <w:p>
      <w:pPr>
        <w:pStyle w:val="Compact"/>
        <w:numPr>
          <w:ilvl w:val="0"/>
          <w:numId w:val="1019"/>
        </w:numPr>
      </w:pPr>
      <w:r>
        <w:t xml:space="preserve">Environmental and compute stewardship discussion is minimal.</w:t>
      </w:r>
    </w:p>
    <w:p>
      <w:pPr>
        <w:pStyle w:val="FirstParagraph"/>
      </w:pPr>
      <w:r>
        <w:rPr>
          <w:b/>
          <w:bCs/>
        </w:rPr>
        <w:t xml:space="preserve">Priority improvements</w:t>
      </w:r>
      <w:r>
        <w:t xml:space="preserve"> </w:t>
      </w:r>
      <w:r>
        <w:t xml:space="preserve">1. Clarify whether any raw ImageNet or WebText-derived data were accessed during evaluation, or only pretrained checkpoints.</w:t>
      </w:r>
      <w:r>
        <w:t xml:space="preserve"> </w:t>
      </w:r>
      <w:r>
        <w:t xml:space="preserve">2. Add one paragraph on environmental footprint and why the reported compute is sufficient for the claims.</w:t>
      </w:r>
      <w:r>
        <w:t xml:space="preserve"> </w:t>
      </w:r>
      <w:r>
        <w:t xml:space="preserve">3. Discuss possible misuse of the statistic for overconfident “architecture diagnosis” or pruning heuristics.</w:t>
      </w:r>
      <w:r>
        <w:t xml:space="preserve"> </w:t>
      </w:r>
      <w:r>
        <w:t xml:space="preserve">4. State concrete mitigations or limitations around these possible misuses.</w:t>
      </w:r>
    </w:p>
    <w:p>
      <w:pPr>
        <w:pStyle w:val="BodyText"/>
      </w:pPr>
      <w:r>
        <w:rPr>
          <w:b/>
          <w:bCs/>
        </w:rPr>
        <w:t xml:space="preserve">Writing quality and organization — 5.0/10</w:t>
      </w:r>
    </w:p>
    <w:p>
      <w:pPr>
        <w:pStyle w:val="BodyText"/>
      </w:pPr>
      <w:r>
        <w:t xml:space="preserve">The paper is energetic and clearly aims high, but the writing needs a stronger editor’s pass. The biggest issues are duplicated content, distracting speculative framing, and overly compressed exposition. These do not make the paper unreadable, but they do lower reviewer confidence in a submission that already asks readers to accept a large conceptual leap. fileciteturn0file0L97-L101 fileciteturn0file0L126-L132 fileciteturn0file0L168-L176</w:t>
      </w:r>
    </w:p>
    <w:p>
      <w:pPr>
        <w:pStyle w:val="BodyText"/>
      </w:pPr>
      <w:r>
        <w:rPr>
          <w:b/>
          <w:bCs/>
        </w:rPr>
        <w:t xml:space="preserve">Strengths</w:t>
      </w:r>
    </w:p>
    <w:p>
      <w:pPr>
        <w:pStyle w:val="Compact"/>
        <w:numPr>
          <w:ilvl w:val="0"/>
          <w:numId w:val="1020"/>
        </w:numPr>
      </w:pPr>
      <w:r>
        <w:t xml:space="preserve">The manuscript has a strong narrative arc and a memorable central idea.</w:t>
      </w:r>
    </w:p>
    <w:p>
      <w:pPr>
        <w:pStyle w:val="Compact"/>
        <w:numPr>
          <w:ilvl w:val="0"/>
          <w:numId w:val="1020"/>
        </w:numPr>
      </w:pPr>
      <w:r>
        <w:t xml:space="preserve">It includes a real limitations section.</w:t>
      </w:r>
    </w:p>
    <w:p>
      <w:pPr>
        <w:pStyle w:val="Compact"/>
        <w:numPr>
          <w:ilvl w:val="0"/>
          <w:numId w:val="1020"/>
        </w:numPr>
      </w:pPr>
      <w:r>
        <w:t xml:space="preserve">The supplement is more disciplined than the main paper in several places.</w:t>
      </w:r>
    </w:p>
    <w:p>
      <w:pPr>
        <w:pStyle w:val="FirstParagraph"/>
      </w:pPr>
      <w:r>
        <w:rPr>
          <w:b/>
          <w:bCs/>
        </w:rPr>
        <w:t xml:space="preserve">Weaknesses</w:t>
      </w:r>
    </w:p>
    <w:p>
      <w:pPr>
        <w:pStyle w:val="Compact"/>
        <w:numPr>
          <w:ilvl w:val="0"/>
          <w:numId w:val="1021"/>
        </w:numPr>
      </w:pPr>
      <w:r>
        <w:t xml:space="preserve">The “Lottery tickets” paragraph appears twice.</w:t>
      </w:r>
    </w:p>
    <w:p>
      <w:pPr>
        <w:pStyle w:val="Compact"/>
        <w:numPr>
          <w:ilvl w:val="0"/>
          <w:numId w:val="1021"/>
        </w:numPr>
      </w:pPr>
      <w:r>
        <w:t xml:space="preserve">The cosmology / holography context distracts from the core NeurIPS contribution.</w:t>
      </w:r>
    </w:p>
    <w:p>
      <w:pPr>
        <w:pStyle w:val="Compact"/>
        <w:numPr>
          <w:ilvl w:val="0"/>
          <w:numId w:val="1021"/>
        </w:numPr>
      </w:pPr>
      <w:r>
        <w:t xml:space="preserve">The prose often sounds more definitive than the actual evidence warrants.</w:t>
      </w:r>
    </w:p>
    <w:p>
      <w:pPr>
        <w:pStyle w:val="Compact"/>
        <w:numPr>
          <w:ilvl w:val="0"/>
          <w:numId w:val="1021"/>
        </w:numPr>
      </w:pPr>
      <w:r>
        <w:t xml:space="preserve">Organization suffers from trying to present too many sub-stories at once.</w:t>
      </w:r>
    </w:p>
    <w:p>
      <w:pPr>
        <w:pStyle w:val="FirstParagraph"/>
      </w:pPr>
      <w:r>
        <w:rPr>
          <w:b/>
          <w:bCs/>
        </w:rPr>
        <w:t xml:space="preserve">Priority improvements</w:t>
      </w:r>
      <w:r>
        <w:t xml:space="preserve"> </w:t>
      </w:r>
      <w:r>
        <w:t xml:space="preserve">1. Remove duplicate related-work text and tighten the literature review to the closest five papers.</w:t>
      </w:r>
      <w:r>
        <w:t xml:space="preserve"> </w:t>
      </w:r>
      <w:r>
        <w:t xml:space="preserve">2. Cut or sharply shorten the cosmology framing in the main paper.</w:t>
      </w:r>
      <w:r>
        <w:t xml:space="preserve"> </w:t>
      </w:r>
      <w:r>
        <w:t xml:space="preserve">3. Rewrite the abstract and conclusion so that the strongest claim matches the strongest evidence.</w:t>
      </w:r>
      <w:r>
        <w:t xml:space="preserve"> </w:t>
      </w:r>
      <w:r>
        <w:t xml:space="preserve">4. Use one concise terminology table and one notation table early in the paper.</w:t>
      </w:r>
    </w:p>
    <w:bookmarkEnd w:id="28"/>
    <w:bookmarkStart w:id="33" w:name="X547575529911c19fba1d97fd5a318ecec72b156"/>
    <w:p>
      <w:pPr>
        <w:pStyle w:val="Heading2"/>
      </w:pPr>
      <w:r>
        <w:t xml:space="preserve">Reproducibility, Missing Materials, and Strengthening Plan</w:t>
      </w:r>
    </w:p>
    <w:p>
      <w:pPr>
        <w:pStyle w:val="FirstParagraph"/>
      </w:pPr>
      <w:r>
        <w:t xml:space="preserve">The supplement clearly tries to satisfy the spirit of the NeurIPS checklist, but official NeurIPS guidance treats the checklist as an integral submission component and expects reviewers to use it as part of the evaluation. Since the review package here did not include that checklist or the runnable artifact archive, I would explicitly request them before final calibration. fileciteturn0file1L154-L193</w:t>
      </w:r>
      <w:r>
        <w:t xml:space="preserve"> </w:t>
      </w:r>
      <w:hyperlink r:id="rId29">
        <w:r>
          <w:rPr>
            <w:rStyle w:val="Hyperlink"/>
          </w:rPr>
          <w:t xml:space="preserve">[9]</w:t>
        </w:r>
      </w:hyperlink>
    </w:p>
    <w:bookmarkStart w:id="30" w:name="reproducibility-checklist"/>
    <w:p>
      <w:pPr>
        <w:pStyle w:val="Heading3"/>
      </w:pPr>
      <w:r>
        <w:t xml:space="preserve">Reproducibility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Reviewer note</w:t>
            </w:r>
          </w:p>
        </w:tc>
      </w:tr>
      <w:tr>
        <w:tc>
          <w:tcPr/>
          <w:p>
            <w:pPr>
              <w:pStyle w:val="Compact"/>
            </w:pPr>
            <w:r>
              <w:t xml:space="preserve">Code release</w:t>
            </w:r>
          </w:p>
        </w:tc>
        <w:tc>
          <w:tcPr/>
          <w:p>
            <w:pPr>
              <w:pStyle w:val="Compact"/>
            </w:pPr>
            <w:r>
              <w:t xml:space="preserve">Partial</w:t>
            </w:r>
          </w:p>
        </w:tc>
        <w:tc>
          <w:tcPr/>
          <w:p>
            <w:pPr>
              <w:pStyle w:val="Compact"/>
            </w:pPr>
            <w:r>
              <w:t xml:space="preserve">Claimed in supplement, not directly inspectable here. fileciteturn0file1L156-L170</w:t>
            </w:r>
          </w:p>
        </w:tc>
      </w:tr>
      <w:tr>
        <w:tc>
          <w:tcPr/>
          <w:p>
            <w:pPr>
              <w:pStyle w:val="Compact"/>
            </w:pPr>
            <w:r>
              <w:t xml:space="preserve">Data access / provenance</w:t>
            </w:r>
          </w:p>
        </w:tc>
        <w:tc>
          <w:tcPr/>
          <w:p>
            <w:pPr>
              <w:pStyle w:val="Compact"/>
            </w:pPr>
            <w:r>
              <w:t xml:space="preserve">Partial</w:t>
            </w:r>
          </w:p>
        </w:tc>
        <w:tc>
          <w:tcPr/>
          <w:p>
            <w:pPr>
              <w:pStyle w:val="Compact"/>
            </w:pPr>
            <w:r>
              <w:t xml:space="preserve">Synthetic and CIFAR claims are clear, but checkpoint provenance and data-use details for ImageNet/GPT-2 need clarification. fileciteturn0file0L223-L230 fileciteturn0file0L257-L263</w:t>
            </w:r>
          </w:p>
        </w:tc>
      </w:tr>
      <w:tr>
        <w:tc>
          <w:tcPr/>
          <w:p>
            <w:pPr>
              <w:pStyle w:val="Compact"/>
            </w:pPr>
            <w:r>
              <w:t xml:space="preserve">Hyperparameters / configs</w:t>
            </w:r>
          </w:p>
        </w:tc>
        <w:tc>
          <w:tcPr/>
          <w:p>
            <w:pPr>
              <w:pStyle w:val="Compact"/>
            </w:pPr>
            <w:r>
              <w:t xml:space="preserve">Partial</w:t>
            </w:r>
          </w:p>
        </w:tc>
        <w:tc>
          <w:tcPr/>
          <w:p>
            <w:pPr>
              <w:pStyle w:val="Compact"/>
            </w:pPr>
            <w:r>
              <w:t xml:space="preserve">Some environment pinning and scripts are claimed, but a compact config table is missing from the PDFs. fileciteturn0file1L171-L193</w:t>
            </w:r>
          </w:p>
        </w:tc>
      </w:tr>
      <w:tr>
        <w:tc>
          <w:tcPr/>
          <w:p>
            <w:pPr>
              <w:pStyle w:val="Compact"/>
            </w:pPr>
            <w:r>
              <w:t xml:space="preserve">Random seeds</w:t>
            </w:r>
          </w:p>
        </w:tc>
        <w:tc>
          <w:tcPr/>
          <w:p>
            <w:pPr>
              <w:pStyle w:val="Compact"/>
            </w:pPr>
            <w:r>
              <w:t xml:space="preserve">Partial-to-good</w:t>
            </w:r>
          </w:p>
        </w:tc>
        <w:tc>
          <w:tcPr/>
          <w:p>
            <w:pPr>
              <w:pStyle w:val="Compact"/>
            </w:pPr>
            <w:r>
              <w:t xml:space="preserve">Seed maps are claimed; per-system seed counts are summarized, but raw outputs are not attached here. fileciteturn0file1L171-L193 fileciteturn0file1L194-L208</w:t>
            </w:r>
          </w:p>
        </w:tc>
      </w:tr>
      <w:tr>
        <w:tc>
          <w:tcPr/>
          <w:p>
            <w:pPr>
              <w:pStyle w:val="Compact"/>
            </w:pPr>
            <w:r>
              <w:t xml:space="preserve">Compute reporting</w:t>
            </w:r>
          </w:p>
        </w:tc>
        <w:tc>
          <w:tcPr/>
          <w:p>
            <w:pPr>
              <w:pStyle w:val="Compact"/>
            </w:pPr>
            <w:r>
              <w:t xml:space="preserve">Good</w:t>
            </w:r>
          </w:p>
        </w:tc>
        <w:tc>
          <w:tcPr/>
          <w:p>
            <w:pPr>
              <w:pStyle w:val="Compact"/>
            </w:pPr>
            <w:r>
              <w:t xml:space="preserve">Hardware and approximate cost are stated. fileciteturn0file0L177-L182 fileciteturn0file1L177-L180</w:t>
            </w:r>
          </w:p>
        </w:tc>
      </w:tr>
      <w:tr>
        <w:tc>
          <w:tcPr/>
          <w:p>
            <w:pPr>
              <w:pStyle w:val="Compact"/>
            </w:pPr>
            <w:r>
              <w:t xml:space="preserve">Statistical scripts</w:t>
            </w:r>
          </w:p>
        </w:tc>
        <w:tc>
          <w:tcPr/>
          <w:p>
            <w:pPr>
              <w:pStyle w:val="Compact"/>
            </w:pPr>
            <w:r>
              <w:t xml:space="preserve">Partial-to-good</w:t>
            </w:r>
          </w:p>
        </w:tc>
        <w:tc>
          <w:tcPr/>
          <w:p>
            <w:pPr>
              <w:pStyle w:val="Compact"/>
            </w:pPr>
            <w:r>
              <w:t xml:space="preserve">Bootstrap/Mann–Whitney implementation is documented in the supplement. fileciteturn0file1L194-L208</w:t>
            </w:r>
          </w:p>
        </w:tc>
      </w:tr>
      <w:tr>
        <w:tc>
          <w:tcPr/>
          <w:p>
            <w:pPr>
              <w:pStyle w:val="Compact"/>
            </w:pPr>
            <w:r>
              <w:t xml:space="preserve">Exact pretrained checkpoint IDs</w:t>
            </w:r>
          </w:p>
        </w:tc>
        <w:tc>
          <w:tcPr/>
          <w:p>
            <w:pPr>
              <w:pStyle w:val="Compact"/>
            </w:pPr>
            <w:r>
              <w:t xml:space="preserve">Missing in supplied package</w:t>
            </w:r>
          </w:p>
        </w:tc>
        <w:tc>
          <w:tcPr/>
          <w:p>
            <w:pPr>
              <w:pStyle w:val="Compact"/>
            </w:pPr>
            <w:r>
              <w:t xml:space="preserve">Needed for production-scale credibility.</w:t>
            </w:r>
          </w:p>
        </w:tc>
      </w:tr>
      <w:tr>
        <w:tc>
          <w:tcPr/>
          <w:p>
            <w:pPr>
              <w:pStyle w:val="Compact"/>
            </w:pPr>
            <w:r>
              <w:t xml:space="preserve">NeurIPS checklist</w:t>
            </w:r>
          </w:p>
        </w:tc>
        <w:tc>
          <w:tcPr/>
          <w:p>
            <w:pPr>
              <w:pStyle w:val="Compact"/>
            </w:pPr>
            <w:r>
              <w:t xml:space="preserve">Missing in supplied package</w:t>
            </w:r>
          </w:p>
        </w:tc>
        <w:tc>
          <w:tcPr/>
          <w:p>
            <w:pPr>
              <w:pStyle w:val="Compact"/>
            </w:pPr>
            <w:r>
              <w:t xml:space="preserve">Supplement says it exists, but it was not provided here. fileciteturn0file1L181-L193</w:t>
            </w:r>
          </w:p>
        </w:tc>
      </w:tr>
    </w:tbl>
    <w:bookmarkEnd w:id="30"/>
    <w:bookmarkStart w:id="31" w:name="X69a42c884666f551349aa208aeb7c68f194239f"/>
    <w:p>
      <w:pPr>
        <w:pStyle w:val="Heading3"/>
      </w:pPr>
      <w:r>
        <w:t xml:space="preserve">Specific missing materials to request from the authors</w:t>
      </w:r>
    </w:p>
    <w:p>
      <w:pPr>
        <w:pStyle w:val="Compact"/>
        <w:numPr>
          <w:ilvl w:val="0"/>
          <w:numId w:val="1022"/>
        </w:numPr>
      </w:pPr>
      <w:r>
        <w:t xml:space="preserve">The</w:t>
      </w:r>
      <w:r>
        <w:t xml:space="preserve"> </w:t>
      </w:r>
      <w:r>
        <w:rPr>
          <w:b/>
          <w:bCs/>
        </w:rPr>
        <w:t xml:space="preserve">filled-out NeurIPS checklist</w:t>
      </w:r>
      <w:r>
        <w:t xml:space="preserve"> </w:t>
      </w:r>
      <w:r>
        <w:t xml:space="preserve">exactly as submitted.</w:t>
      </w:r>
    </w:p>
    <w:p>
      <w:pPr>
        <w:pStyle w:val="Compact"/>
        <w:numPr>
          <w:ilvl w:val="0"/>
          <w:numId w:val="1022"/>
        </w:numPr>
      </w:pPr>
      <w:r>
        <w:t xml:space="preserve">The</w:t>
      </w:r>
      <w:r>
        <w:t xml:space="preserve"> </w:t>
      </w:r>
      <w:r>
        <w:rPr>
          <w:b/>
          <w:bCs/>
        </w:rPr>
        <w:t xml:space="preserve">anonymous artifact bundle</w:t>
      </w:r>
      <w:r>
        <w:t xml:space="preserve"> </w:t>
      </w:r>
      <w:r>
        <w:t xml:space="preserve">referenced in the supplement, including raw JSON outputs.</w:t>
      </w:r>
    </w:p>
    <w:p>
      <w:pPr>
        <w:pStyle w:val="Compact"/>
        <w:numPr>
          <w:ilvl w:val="0"/>
          <w:numId w:val="1022"/>
        </w:numPr>
      </w:pPr>
      <w:r>
        <w:t xml:space="preserve">Exact</w:t>
      </w:r>
      <w:r>
        <w:t xml:space="preserve"> </w:t>
      </w:r>
      <w:r>
        <w:rPr>
          <w:b/>
          <w:bCs/>
        </w:rPr>
        <w:t xml:space="preserve">checkpoint identifiers and download/provenance instructions</w:t>
      </w:r>
      <w:r>
        <w:t xml:space="preserve"> </w:t>
      </w:r>
      <w:r>
        <w:t xml:space="preserve">for ResNet-50, ViT-L/16, GPT-2-medium, and CIFAR ResNet-18.</w:t>
      </w:r>
    </w:p>
    <w:p>
      <w:pPr>
        <w:pStyle w:val="Compact"/>
        <w:numPr>
          <w:ilvl w:val="0"/>
          <w:numId w:val="1022"/>
        </w:numPr>
      </w:pPr>
      <w:r>
        <w:t xml:space="preserve">A compact</w:t>
      </w:r>
      <w:r>
        <w:t xml:space="preserve"> </w:t>
      </w:r>
      <w:r>
        <w:rPr>
          <w:b/>
          <w:bCs/>
        </w:rPr>
        <w:t xml:space="preserve">config table</w:t>
      </w:r>
      <w:r>
        <w:t xml:space="preserve"> </w:t>
      </w:r>
      <w:r>
        <w:t xml:space="preserve">for each major experiment: model, task, seed count, probe count, dtype, batch sizing, and runtime.</w:t>
      </w:r>
    </w:p>
    <w:p>
      <w:pPr>
        <w:pStyle w:val="Compact"/>
        <w:numPr>
          <w:ilvl w:val="0"/>
          <w:numId w:val="1022"/>
        </w:numPr>
      </w:pPr>
      <w:r>
        <w:t xml:space="preserve">One appendix table with</w:t>
      </w:r>
      <w:r>
        <w:t xml:space="preserve"> </w:t>
      </w:r>
      <w:r>
        <w:rPr>
          <w:b/>
          <w:bCs/>
        </w:rPr>
        <w:t xml:space="preserve">per-seed values</w:t>
      </w:r>
      <w:r>
        <w:t xml:space="preserve"> </w:t>
      </w:r>
      <w:r>
        <w:t xml:space="preserve">for the main panel and any repeated production-scale measurements.</w:t>
      </w:r>
    </w:p>
    <w:p>
      <w:pPr>
        <w:pStyle w:val="Compact"/>
        <w:numPr>
          <w:ilvl w:val="0"/>
          <w:numId w:val="1022"/>
        </w:numPr>
      </w:pPr>
      <w:r>
        <w:t xml:space="preserve">A clarification of the apparent tension between the main-paper production-scale claims and the supplement’s statement that some production-scale ImageNet/GPT-2 experiments were “pre-registered … but not measured in this submission.” fileciteturn0file0L223-L230 fileciteturn0file1L181-L193</w:t>
      </w:r>
    </w:p>
    <w:bookmarkEnd w:id="31"/>
    <w:bookmarkStart w:id="32" w:name="Xab41b5044e36ef94dd6168f2ef6479d777e9cc1"/>
    <w:p>
      <w:pPr>
        <w:pStyle w:val="Heading3"/>
      </w:pPr>
      <w:r>
        <w:t xml:space="preserve">Prioritized experiments and analyses that would most strengthen the paper</w:t>
      </w:r>
    </w:p>
    <w:p>
      <w:pPr>
        <w:pStyle w:val="Compact"/>
        <w:numPr>
          <w:ilvl w:val="0"/>
          <w:numId w:val="1023"/>
        </w:numPr>
      </w:pPr>
      <w:r>
        <w:rPr>
          <w:b/>
          <w:bCs/>
        </w:rPr>
        <w:t xml:space="preserve">Same-setting comparison to the closest prior observables</w:t>
      </w:r>
      <w:r>
        <w:t xml:space="preserve"> </w:t>
      </w:r>
      <w:r>
        <w:t xml:space="preserve">on the same checkpoints: FIM spectrum, Hessian outlier hierarchy, weight-spectrum diagnostics, and simpler gradient/Jacobian statistics.</w:t>
      </w:r>
    </w:p>
    <w:p>
      <w:pPr>
        <w:pStyle w:val="Compact"/>
        <w:numPr>
          <w:ilvl w:val="0"/>
          <w:numId w:val="1023"/>
        </w:numPr>
      </w:pPr>
      <w:r>
        <w:rPr>
          <w:b/>
          <w:bCs/>
        </w:rPr>
        <w:t xml:space="preserve">From-scratch trajectory evidence</w:t>
      </w:r>
      <w:r>
        <w:t xml:space="preserve"> </w:t>
      </w:r>
      <w:r>
        <w:t xml:space="preserve">for at least one medium-scale model, not just pretrained checkpoints and endpoint evaluations.</w:t>
      </w:r>
    </w:p>
    <w:p>
      <w:pPr>
        <w:pStyle w:val="Compact"/>
        <w:numPr>
          <w:ilvl w:val="0"/>
          <w:numId w:val="1023"/>
        </w:numPr>
      </w:pPr>
      <w:r>
        <w:rPr>
          <w:b/>
          <w:bCs/>
        </w:rPr>
        <w:t xml:space="preserve">Dynamical-isometry / initialization ablation</w:t>
      </w:r>
      <w:r>
        <w:t xml:space="preserve">, which the paper itself identifies as a clean falsifier.</w:t>
      </w:r>
    </w:p>
    <w:p>
      <w:pPr>
        <w:pStyle w:val="Compact"/>
        <w:numPr>
          <w:ilvl w:val="0"/>
          <w:numId w:val="1023"/>
        </w:numPr>
      </w:pPr>
      <w:r>
        <w:rPr>
          <w:b/>
          <w:bCs/>
        </w:rPr>
        <w:t xml:space="preserve">Production-scale uncertainty characterization</w:t>
      </w:r>
      <w:r>
        <w:t xml:space="preserve">, even if limited to repeated estimator runs, multiple checkpoints, or a few seeds on a smaller but still meaningful model.</w:t>
      </w:r>
    </w:p>
    <w:p>
      <w:pPr>
        <w:pStyle w:val="Compact"/>
        <w:numPr>
          <w:ilvl w:val="0"/>
          <w:numId w:val="1023"/>
        </w:numPr>
      </w:pPr>
      <w:r>
        <w:rPr>
          <w:b/>
          <w:bCs/>
        </w:rPr>
        <w:t xml:space="preserve">Residual/gating/depth isolation study</w:t>
      </w:r>
      <w:r>
        <w:t xml:space="preserve"> </w:t>
      </w:r>
      <w:r>
        <w:t xml:space="preserve">to show what component actually drives the separation.</w:t>
      </w:r>
    </w:p>
    <w:p>
      <w:pPr>
        <w:pStyle w:val="Compact"/>
        <w:numPr>
          <w:ilvl w:val="0"/>
          <w:numId w:val="1023"/>
        </w:numPr>
      </w:pPr>
      <w:r>
        <w:rPr>
          <w:b/>
          <w:bCs/>
        </w:rPr>
        <w:t xml:space="preserve">Downstream utility experiment</w:t>
      </w:r>
      <w:r>
        <w:t xml:space="preserve"> </w:t>
      </w:r>
      <w:r>
        <w:t xml:space="preserve">showing whether the tier statistic predicts trainability, pruning success, or optimizer stability.</w:t>
      </w:r>
    </w:p>
    <w:p>
      <w:pPr>
        <w:pStyle w:val="Compact"/>
        <w:numPr>
          <w:ilvl w:val="0"/>
          <w:numId w:val="1023"/>
        </w:numPr>
      </w:pPr>
      <w:r>
        <w:rPr>
          <w:b/>
          <w:bCs/>
        </w:rPr>
        <w:t xml:space="preserve">Claim hierarchy cleanup</w:t>
      </w:r>
      <w:r>
        <w:t xml:space="preserve"> </w:t>
      </w:r>
      <w:r>
        <w:t xml:space="preserve">in the text: proved versus empirically supported versus conjectural.</w:t>
      </w:r>
    </w:p>
    <w:p>
      <w:pPr>
        <w:pStyle w:val="Compact"/>
        <w:numPr>
          <w:ilvl w:val="0"/>
          <w:numId w:val="1023"/>
        </w:numPr>
      </w:pPr>
      <w:r>
        <w:rPr>
          <w:b/>
          <w:bCs/>
        </w:rPr>
        <w:t xml:space="preserve">Explicit failure analysis</w:t>
      </w:r>
      <w:r>
        <w:t xml:space="preserve"> </w:t>
      </w:r>
      <w:r>
        <w:t xml:space="preserve">for attention, RNN/LSTM, and Mamba, with one unifying explanatory figure.</w:t>
      </w:r>
    </w:p>
    <w:p>
      <w:pPr>
        <w:pStyle w:val="FirstParagraph"/>
      </w:pPr>
      <w:r>
        <w:t xml:space="preserve">The most efficient strengthening path starts from ablations and artifact work the supplement already hints at, and then adds direct matched comparisons to prior observables and a clearer theory-to-claim separation. fileciteturn0file1L81-L95 fileciteturn0file1L102-L138 fileciteturn0file1L154-L193</w:t>
      </w:r>
    </w:p>
    <w:p>
      <w:pPr>
        <w:pStyle w:val="SourceCode"/>
      </w:pPr>
      <w:r>
        <w:rPr>
          <w:rStyle w:val="VerbatimChar"/>
        </w:rPr>
        <w:t xml:space="preserve">flowchart TD</w:t>
      </w:r>
      <w:r>
        <w:br/>
      </w:r>
      <w:r>
        <w:rPr>
          <w:rStyle w:val="VerbatimChar"/>
        </w:rPr>
        <w:t xml:space="preserve">    A[Define exact claim hierarchy] --&gt; B[Audit estimator and theorem assumptions]</w:t>
      </w:r>
      <w:r>
        <w:br/>
      </w:r>
      <w:r>
        <w:rPr>
          <w:rStyle w:val="VerbatimChar"/>
        </w:rPr>
        <w:t xml:space="preserve">    B --&gt; C[Release checklist and artifact bundle]</w:t>
      </w:r>
      <w:r>
        <w:br/>
      </w:r>
      <w:r>
        <w:rPr>
          <w:rStyle w:val="VerbatimChar"/>
        </w:rPr>
        <w:t xml:space="preserve">    C --&gt; D[Reproduce small-scale panel with raw outputs]</w:t>
      </w:r>
      <w:r>
        <w:br/>
      </w:r>
      <w:r>
        <w:rPr>
          <w:rStyle w:val="VerbatimChar"/>
        </w:rPr>
        <w:t xml:space="preserve">    D --&gt; E[Run same-setting prior-observable comparisons]</w:t>
      </w:r>
      <w:r>
        <w:br/>
      </w:r>
      <w:r>
        <w:rPr>
          <w:rStyle w:val="VerbatimChar"/>
        </w:rPr>
        <w:t xml:space="preserve">    E --&gt; F[Add initialization and architecture-component ablations]</w:t>
      </w:r>
      <w:r>
        <w:br/>
      </w:r>
      <w:r>
        <w:rPr>
          <w:rStyle w:val="VerbatimChar"/>
        </w:rPr>
        <w:t xml:space="preserve">    F --&gt; G[Clarify production-scale checkpoint provenance and uncertainty]</w:t>
      </w:r>
      <w:r>
        <w:br/>
      </w:r>
      <w:r>
        <w:rPr>
          <w:rStyle w:val="VerbatimChar"/>
        </w:rPr>
        <w:t xml:space="preserve">    G --&gt; H[Revise title, abstract, and conclusion to match evidence]</w:t>
      </w:r>
    </w:p>
    <w:p>
      <w:pPr>
        <w:pStyle w:val="SourceCode"/>
      </w:pPr>
      <w:r>
        <w:rPr>
          <w:rStyle w:val="VerbatimChar"/>
        </w:rPr>
        <w:t xml:space="preserve">gantt</w:t>
      </w:r>
      <w:r>
        <w:br/>
      </w:r>
      <w:r>
        <w:rPr>
          <w:rStyle w:val="VerbatimChar"/>
        </w:rPr>
        <w:t xml:space="preserve">    title Recommended short-term experiment timeline</w:t>
      </w:r>
      <w:r>
        <w:br/>
      </w:r>
      <w:r>
        <w:rPr>
          <w:rStyle w:val="VerbatimChar"/>
        </w:rPr>
        <w:t xml:space="preserve">    dateFormat  YYYY-MM-DD</w:t>
      </w:r>
      <w:r>
        <w:br/>
      </w:r>
      <w:r>
        <w:rPr>
          <w:rStyle w:val="VerbatimChar"/>
        </w:rPr>
        <w:t xml:space="preserve">    axisFormat  %b %d</w:t>
      </w:r>
      <w:r>
        <w:br/>
      </w:r>
      <w:r>
        <w:rPr>
          <w:rStyle w:val="VerbatimChar"/>
        </w:rPr>
        <w:t xml:space="preserve">    section Artifact completeness</w:t>
      </w:r>
      <w:r>
        <w:br/>
      </w:r>
      <w:r>
        <w:rPr>
          <w:rStyle w:val="VerbatimChar"/>
        </w:rPr>
        <w:t xml:space="preserve">    Checklist and artifact upload          :a1, 2026-04-27, 2d</w:t>
      </w:r>
      <w:r>
        <w:br/>
      </w:r>
      <w:r>
        <w:rPr>
          <w:rStyle w:val="VerbatimChar"/>
        </w:rPr>
        <w:t xml:space="preserve">    Checkpoint provenance appendix         :a2, 2026-04-27, 3d</w:t>
      </w:r>
      <w:r>
        <w:br/>
      </w:r>
      <w:r>
        <w:rPr>
          <w:rStyle w:val="VerbatimChar"/>
        </w:rPr>
        <w:t xml:space="preserve">    section Core validation</w:t>
      </w:r>
      <w:r>
        <w:br/>
      </w:r>
      <w:r>
        <w:rPr>
          <w:rStyle w:val="VerbatimChar"/>
        </w:rPr>
        <w:t xml:space="preserve">    Same-setting prior-observable comparison :b1, 2026-04-29, 5d</w:t>
      </w:r>
      <w:r>
        <w:br/>
      </w:r>
      <w:r>
        <w:rPr>
          <w:rStyle w:val="VerbatimChar"/>
        </w:rPr>
        <w:t xml:space="preserve">    Initialization and dynamical-isometry ablation :b2, 2026-04-29, 5d</w:t>
      </w:r>
      <w:r>
        <w:br/>
      </w:r>
      <w:r>
        <w:rPr>
          <w:rStyle w:val="VerbatimChar"/>
        </w:rPr>
        <w:t xml:space="preserve">    Residual/gating/depth isolation study  :b3, 2026-04-30, 5d</w:t>
      </w:r>
      <w:r>
        <w:br/>
      </w:r>
      <w:r>
        <w:rPr>
          <w:rStyle w:val="VerbatimChar"/>
        </w:rPr>
        <w:t xml:space="preserve">    section Production-scale clarification</w:t>
      </w:r>
      <w:r>
        <w:br/>
      </w:r>
      <w:r>
        <w:rPr>
          <w:rStyle w:val="VerbatimChar"/>
        </w:rPr>
        <w:t xml:space="preserve">    Re-estimation and uncertainty reporting :c1, 2026-05-01, 4d</w:t>
      </w:r>
      <w:r>
        <w:br/>
      </w:r>
      <w:r>
        <w:rPr>
          <w:rStyle w:val="VerbatimChar"/>
        </w:rPr>
        <w:t xml:space="preserve">    section Paper revision</w:t>
      </w:r>
      <w:r>
        <w:br/>
      </w:r>
      <w:r>
        <w:rPr>
          <w:rStyle w:val="VerbatimChar"/>
        </w:rPr>
        <w:t xml:space="preserve">    Claim hierarchy rewrite and wording cleanup :d1, 2026-05-04, 2d</w:t>
      </w:r>
    </w:p>
    <w:bookmarkEnd w:id="32"/>
    <w:bookmarkEnd w:id="33"/>
    <w:bookmarkStart w:id="37" w:name="comparison-to-the-closest-prior-work"/>
    <w:p>
      <w:pPr>
        <w:pStyle w:val="Heading2"/>
      </w:pPr>
      <w:r>
        <w:t xml:space="preserve">Comparison to the Closest Prior Work</w:t>
      </w:r>
    </w:p>
    <w:p>
      <w:pPr>
        <w:pStyle w:val="FirstParagraph"/>
      </w:pPr>
      <w:r>
        <w:t xml:space="preserve">The table below focuses on the closest works implied by the submission’s own novelty statement and by direct topic overlap. The most important pattern is that the present paper is often</w:t>
      </w:r>
      <w:r>
        <w:t xml:space="preserve"> </w:t>
      </w:r>
      <w:r>
        <w:rPr>
          <w:b/>
          <w:bCs/>
        </w:rPr>
        <w:t xml:space="preserve">broader empirically</w:t>
      </w:r>
      <w:r>
        <w:t xml:space="preserve"> </w:t>
      </w:r>
      <w:r>
        <w:t xml:space="preserve">than the closest work, but usually</w:t>
      </w:r>
      <w:r>
        <w:t xml:space="preserve"> </w:t>
      </w:r>
      <w:r>
        <w:rPr>
          <w:b/>
          <w:bCs/>
        </w:rPr>
        <w:t xml:space="preserve">less rigorous at the exact point where it generalizes beyond that work’s assumptions</w:t>
      </w:r>
      <w:r>
        <w:t xml:space="preserve">. fileciteturn0file1L3-L50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 work</w:t>
            </w:r>
          </w:p>
        </w:tc>
        <w:tc>
          <w:tcPr/>
          <w:p>
            <w:pPr>
              <w:pStyle w:val="Compact"/>
            </w:pPr>
            <w:r>
              <w:t xml:space="preserve">Venue / year</w:t>
            </w:r>
          </w:p>
        </w:tc>
        <w:tc>
          <w:tcPr/>
          <w:p>
            <w:pPr>
              <w:pStyle w:val="Compact"/>
            </w:pPr>
            <w:r>
              <w:t xml:space="preserve">Key difference versus this submission</w:t>
            </w:r>
          </w:p>
        </w:tc>
        <w:tc>
          <w:tcPr/>
          <w:p>
            <w:pPr>
              <w:pStyle w:val="Compact"/>
            </w:pPr>
            <w:r>
              <w:t xml:space="preserve">Relative strengths / weaknesses</w:t>
            </w:r>
          </w:p>
        </w:tc>
      </w:tr>
      <w:tr>
        <w:tc>
          <w:tcPr/>
          <w:p>
            <w:pPr>
              <w:pStyle w:val="Compact"/>
            </w:pPr>
            <w:r>
              <w:rPr>
                <w:i/>
                <w:iCs/>
              </w:rPr>
              <w:t xml:space="preserve">The Spectrum of the Fisher Information Matrix of a Single-Hidden-Layer Neural Network</w:t>
            </w:r>
            <w:r>
              <w:t xml:space="preserve"> </w:t>
            </w:r>
            <w:hyperlink r:id="rId34">
              <w:r>
                <w:rPr>
                  <w:rStyle w:val="Hyperlink"/>
                </w:rPr>
                <w:t xml:space="preserve">[10]</w:t>
              </w:r>
            </w:hyperlink>
          </w:p>
        </w:tc>
        <w:tc>
          <w:tcPr/>
          <w:p>
            <w:pPr>
              <w:pStyle w:val="Compact"/>
            </w:pPr>
            <w:r>
              <w:t xml:space="preserve">NeurIPS 2018</w:t>
            </w:r>
          </w:p>
        </w:tc>
        <w:tc>
          <w:tcPr/>
          <w:p>
            <w:pPr>
              <w:pStyle w:val="Compact"/>
            </w:pPr>
            <w:r>
              <w:t xml:space="preserve">Exact FIM-spectrum analysis in a much narrower one-hidden-layer regime.</w:t>
            </w:r>
          </w:p>
        </w:tc>
        <w:tc>
          <w:tcPr/>
          <w:p>
            <w:pPr>
              <w:pStyle w:val="Compact"/>
            </w:pPr>
            <w:r>
              <w:rPr>
                <w:b/>
                <w:bCs/>
              </w:rPr>
              <w:t xml:space="preserve">Prior work stronger:</w:t>
            </w:r>
            <w:r>
              <w:t xml:space="preserve"> </w:t>
            </w:r>
            <w:r>
              <w:t xml:space="preserve">exact spectral math in a tightly defined setting.</w:t>
            </w:r>
            <w:r>
              <w:t xml:space="preserve"> </w:t>
            </w:r>
            <w:r>
              <w:rPr>
                <w:b/>
                <w:bCs/>
              </w:rPr>
              <w:t xml:space="preserve">This submission stronger:</w:t>
            </w:r>
            <w:r>
              <w:t xml:space="preserve"> </w:t>
            </w:r>
            <w:r>
              <w:t xml:space="preserve">depth-focused diagonal statistic and broader panel.</w:t>
            </w:r>
          </w:p>
        </w:tc>
      </w:tr>
      <w:tr>
        <w:tc>
          <w:tcPr/>
          <w:p>
            <w:pPr>
              <w:pStyle w:val="Compact"/>
            </w:pPr>
            <w:r>
              <w:rPr>
                <w:i/>
                <w:iCs/>
              </w:rPr>
              <w:t xml:space="preserve">Universal Statistics of Fisher Information in Deep Neural Networks: Mean Field Approach</w:t>
            </w:r>
            <w:r>
              <w:t xml:space="preserve"> </w:t>
            </w:r>
            <w:hyperlink r:id="rId25">
              <w:r>
                <w:rPr>
                  <w:rStyle w:val="Hyperlink"/>
                </w:rPr>
                <w:t xml:space="preserve">[11]</w:t>
              </w:r>
            </w:hyperlink>
          </w:p>
        </w:tc>
        <w:tc>
          <w:tcPr/>
          <w:p>
            <w:pPr>
              <w:pStyle w:val="Compact"/>
            </w:pPr>
            <w:r>
              <w:t xml:space="preserve">AISTATS 2019</w:t>
            </w:r>
          </w:p>
        </w:tc>
        <w:tc>
          <w:tcPr/>
          <w:p>
            <w:pPr>
              <w:pStyle w:val="Compact"/>
            </w:pPr>
            <w:r>
              <w:t xml:space="preserve">Closest FIM-specific precursor; studies random DNN FIM statistics in large-width limits.</w:t>
            </w:r>
          </w:p>
        </w:tc>
        <w:tc>
          <w:tcPr/>
          <w:p>
            <w:pPr>
              <w:pStyle w:val="Compact"/>
            </w:pPr>
            <w:r>
              <w:rPr>
                <w:b/>
                <w:bCs/>
              </w:rPr>
              <w:t xml:space="preserve">Prior work stronger:</w:t>
            </w:r>
            <w:r>
              <w:t xml:space="preserve"> </w:t>
            </w:r>
            <w:r>
              <w:t xml:space="preserve">established asymptotic derivation and FIM grounding.</w:t>
            </w:r>
            <w:r>
              <w:t xml:space="preserve"> </w:t>
            </w:r>
            <w:r>
              <w:rPr>
                <w:b/>
                <w:bCs/>
              </w:rPr>
              <w:t xml:space="preserve">This submission stronger:</w:t>
            </w:r>
            <w:r>
              <w:t xml:space="preserve"> </w:t>
            </w:r>
            <w:r>
              <w:t xml:space="preserve">diagonal-tier observable, non-neural panel, explicit falsifier framing.</w:t>
            </w:r>
          </w:p>
        </w:tc>
      </w:tr>
      <w:tr>
        <w:tc>
          <w:tcPr/>
          <w:p>
            <w:pPr>
              <w:pStyle w:val="Compact"/>
            </w:pPr>
            <w:r>
              <w:rPr>
                <w:i/>
                <w:iCs/>
              </w:rPr>
              <w:t xml:space="preserve">Measurements of Three-Level Hierarchical Structure in the Outliers in the Spectrum of Deepnet Hessians</w:t>
            </w:r>
            <w:r>
              <w:t xml:space="preserve"> </w:t>
            </w:r>
            <w:hyperlink r:id="rId35">
              <w:r>
                <w:rPr>
                  <w:rStyle w:val="Hyperlink"/>
                </w:rPr>
                <w:t xml:space="preserve">[12]</w:t>
              </w:r>
            </w:hyperlink>
          </w:p>
        </w:tc>
        <w:tc>
          <w:tcPr/>
          <w:p>
            <w:pPr>
              <w:pStyle w:val="Compact"/>
            </w:pPr>
            <w:r>
              <w:t xml:space="preserve">ICML 2019</w:t>
            </w:r>
          </w:p>
        </w:tc>
        <w:tc>
          <w:tcPr/>
          <w:p>
            <w:pPr>
              <w:pStyle w:val="Compact"/>
            </w:pPr>
            <w:r>
              <w:t xml:space="preserve">Similar “hierarchy” motif, but in Hessian outliers for supervised classification rather than the FIM diagonal.</w:t>
            </w:r>
          </w:p>
        </w:tc>
        <w:tc>
          <w:tcPr/>
          <w:p>
            <w:pPr>
              <w:pStyle w:val="Compact"/>
            </w:pPr>
            <w:r>
              <w:rPr>
                <w:b/>
                <w:bCs/>
              </w:rPr>
              <w:t xml:space="preserve">Prior work stronger:</w:t>
            </w:r>
            <w:r>
              <w:t xml:space="preserve"> </w:t>
            </w:r>
            <w:r>
              <w:t xml:space="preserve">directly tied to class structure and optimization geometry.</w:t>
            </w:r>
            <w:r>
              <w:t xml:space="preserve"> </w:t>
            </w:r>
            <w:r>
              <w:rPr>
                <w:b/>
                <w:bCs/>
              </w:rPr>
              <w:t xml:space="preserve">This submission stronger:</w:t>
            </w:r>
            <w:r>
              <w:t xml:space="preserve"> </w:t>
            </w:r>
            <w:r>
              <w:t xml:space="preserve">label-free framing and random-init presence, if validated.</w:t>
            </w:r>
          </w:p>
        </w:tc>
      </w:tr>
      <w:tr>
        <w:tc>
          <w:tcPr/>
          <w:p>
            <w:pPr>
              <w:pStyle w:val="Compact"/>
            </w:pPr>
            <w:r>
              <w:rPr>
                <w:i/>
                <w:iCs/>
              </w:rPr>
              <w:t xml:space="preserve">Products of Many Large Random Matrices and Gradients in Deep Neural Networks</w:t>
            </w:r>
            <w:r>
              <w:t xml:space="preserve"> </w:t>
            </w:r>
            <w:hyperlink r:id="rId26">
              <w:r>
                <w:rPr>
                  <w:rStyle w:val="Hyperlink"/>
                </w:rPr>
                <w:t xml:space="preserve">[7]</w:t>
              </w:r>
            </w:hyperlink>
          </w:p>
        </w:tc>
        <w:tc>
          <w:tcPr/>
          <w:p>
            <w:pPr>
              <w:pStyle w:val="Compact"/>
            </w:pPr>
            <w:r>
              <w:t xml:space="preserve">Comm. Math. Phys. 2020</w:t>
            </w:r>
          </w:p>
        </w:tc>
        <w:tc>
          <w:tcPr/>
          <w:p>
            <w:pPr>
              <w:pStyle w:val="Compact"/>
            </w:pPr>
            <w:r>
              <w:t xml:space="preserve">Provides the deepest theoretical mechanism used here; the current theorem is a transform on top of that regime.</w:t>
            </w:r>
          </w:p>
        </w:tc>
        <w:tc>
          <w:tcPr/>
          <w:p>
            <w:pPr>
              <w:pStyle w:val="Compact"/>
            </w:pPr>
            <w:r>
              <w:rPr>
                <w:b/>
                <w:bCs/>
              </w:rPr>
              <w:t xml:space="preserve">Prior work stronger:</w:t>
            </w:r>
            <w:r>
              <w:t xml:space="preserve"> </w:t>
            </w:r>
            <w:r>
              <w:t xml:space="preserve">rigorous theorem in a mathematically controlled setting.</w:t>
            </w:r>
            <w:r>
              <w:t xml:space="preserve"> </w:t>
            </w:r>
            <w:r>
              <w:rPr>
                <w:b/>
                <w:bCs/>
              </w:rPr>
              <w:t xml:space="preserve">This submission stronger:</w:t>
            </w:r>
            <w:r>
              <w:t xml:space="preserve"> </w:t>
            </w:r>
            <w:r>
              <w:t xml:space="preserve">empirical reach beyond that regime, but only empirically.</w:t>
            </w:r>
          </w:p>
        </w:tc>
      </w:tr>
      <w:tr>
        <w:tc>
          <w:tcPr/>
          <w:p>
            <w:pPr>
              <w:pStyle w:val="Compact"/>
            </w:pPr>
            <w:r>
              <w:rPr>
                <w:i/>
                <w:iCs/>
              </w:rPr>
              <w:t xml:space="preserve">Implicit Self-Regularization in Deep Neural Networks</w:t>
            </w:r>
            <w:r>
              <w:t xml:space="preserve"> </w:t>
            </w:r>
            <w:hyperlink r:id="rId36">
              <w:r>
                <w:rPr>
                  <w:rStyle w:val="Hyperlink"/>
                </w:rPr>
                <w:t xml:space="preserve">[13]</w:t>
              </w:r>
            </w:hyperlink>
          </w:p>
        </w:tc>
        <w:tc>
          <w:tcPr/>
          <w:p>
            <w:pPr>
              <w:pStyle w:val="Compact"/>
            </w:pPr>
            <w:r>
              <w:t xml:space="preserve">JMLR 2021</w:t>
            </w:r>
          </w:p>
        </w:tc>
        <w:tc>
          <w:tcPr/>
          <w:p>
            <w:pPr>
              <w:pStyle w:val="Compact"/>
            </w:pPr>
            <w:r>
              <w:t xml:space="preserve">Heavy-tailed spectral phases in trained weights rather than FIM-diagonal concentration.</w:t>
            </w:r>
          </w:p>
        </w:tc>
        <w:tc>
          <w:tcPr/>
          <w:p>
            <w:pPr>
              <w:pStyle w:val="Compact"/>
            </w:pPr>
            <w:r>
              <w:rPr>
                <w:b/>
                <w:bCs/>
              </w:rPr>
              <w:t xml:space="preserve">Prior work stronger:</w:t>
            </w:r>
            <w:r>
              <w:t xml:space="preserve"> </w:t>
            </w:r>
            <w:r>
              <w:t xml:space="preserve">practical training-phase narrative and established empirical spectral toolkit.</w:t>
            </w:r>
            <w:r>
              <w:t xml:space="preserve"> </w:t>
            </w:r>
            <w:r>
              <w:rPr>
                <w:b/>
                <w:bCs/>
              </w:rPr>
              <w:t xml:space="preserve">This submission stronger:</w:t>
            </w:r>
            <w:r>
              <w:t xml:space="preserve"> </w:t>
            </w:r>
            <w:r>
              <w:t xml:space="preserve">possibility of an init-time, substrate-spanning diagnostic rather than a training-only weight-spectrum story.</w:t>
            </w:r>
          </w:p>
        </w:tc>
      </w:tr>
    </w:tbl>
    <w:p>
      <w:pPr>
        <w:pStyle w:val="BodyText"/>
      </w:pPr>
      <w:r>
        <w:t xml:space="preserve">A fairer version of the current submission would compare its statistic against these prior observables</w:t>
      </w:r>
      <w:r>
        <w:t xml:space="preserve"> </w:t>
      </w:r>
      <w:r>
        <w:rPr>
          <w:b/>
          <w:bCs/>
        </w:rPr>
        <w:t xml:space="preserve">on exactly the same models and checkpoints</w:t>
      </w:r>
      <w:r>
        <w:t xml:space="preserve">. Right now, the comparative case is suggestive, not definitive. fileciteturn0file1L42-L50</w:t>
      </w:r>
    </w:p>
    <w:bookmarkEnd w:id="37"/>
    <w:bookmarkStart w:id="40" w:name="meta-review-and-suggested-rebuttal-draft"/>
    <w:p>
      <w:pPr>
        <w:pStyle w:val="Heading2"/>
      </w:pPr>
      <w:r>
        <w:t xml:space="preserve">Meta-Review and Suggested Rebuttal Draft</w:t>
      </w:r>
    </w:p>
    <w:bookmarkStart w:id="38" w:name="meta-review"/>
    <w:p>
      <w:pPr>
        <w:pStyle w:val="Heading3"/>
      </w:pPr>
      <w:r>
        <w:t xml:space="preserve">Meta-review</w:t>
      </w:r>
    </w:p>
    <w:p>
      <w:pPr>
        <w:pStyle w:val="FirstParagraph"/>
      </w:pPr>
      <w:r>
        <w:t xml:space="preserve">This is a creative and ambitious submission with a real chance to matter if its central claims are tightened and better validated. I found the strongest parts to be the broad empirical panel, the unusually explicit falsification mindset, the estimator validation, and the effort to document reproducibility in the supplement. The paper also has a memorable central object—the diagonal FIM tier ratio—that is simple enough to travel if it proves robust. My main reservations are about scope and calibration. The theoretical bridge is rigorous only in a much narrower regime than the headline “universality signature” framing suggests, while the extensions to trained, residual, attention-based, and non-neural systems are fundamentally empirical. The paper’s comparisons to the closest prior observables are mostly narrative rather than same-setting experimental, which makes it hard to judge whether the proposed statistic is genuinely more revealing than existing tools. Reproducibility looks promising in principle, but the actual review package is incomplete: the checklist and artifact bundle were not directly available, and the supplement contains language that appears in tension with the main paper on the status of some production-scale experiments. I therefore land at</w:t>
      </w:r>
      <w:r>
        <w:t xml:space="preserve"> </w:t>
      </w:r>
      <w:r>
        <w:rPr>
          <w:b/>
          <w:bCs/>
        </w:rPr>
        <w:t xml:space="preserve">Weak Reject</w:t>
      </w:r>
      <w:r>
        <w:t xml:space="preserve"> </w:t>
      </w:r>
      <w:r>
        <w:t xml:space="preserve">at present, while noting that a strong rebuttal plus targeted additional evidence could move this significantly upward. fileciteturn0file0L207-L249 fileciteturn0file1L154-L193</w:t>
      </w:r>
      <w:r>
        <w:t xml:space="preserve"> </w:t>
      </w:r>
      <w:hyperlink r:id="rId21">
        <w:r>
          <w:rPr>
            <w:rStyle w:val="Hyperlink"/>
          </w:rPr>
          <w:t xml:space="preserve">[14]</w:t>
        </w:r>
      </w:hyperlink>
    </w:p>
    <w:bookmarkEnd w:id="38"/>
    <w:bookmarkStart w:id="39" w:name="suggested-rebuttal-draft"/>
    <w:p>
      <w:pPr>
        <w:pStyle w:val="Heading3"/>
      </w:pPr>
      <w:r>
        <w:t xml:space="preserve">Suggested rebuttal draft</w:t>
      </w:r>
    </w:p>
    <w:p>
      <w:pPr>
        <w:pStyle w:val="FirstParagraph"/>
      </w:pPr>
      <w:r>
        <w:t xml:space="preserve">We thank the reviewers for their careful reading and for stressing exactly the issues that matter most for this submission: the scope of the universality claim, the relationship between the theorem and the full empirical panel, the comparative value of the FIM-diagonal observable versus nearby heavy-tail observables, and the completeness of the artifact package.</w:t>
      </w:r>
    </w:p>
    <w:p>
      <w:pPr>
        <w:pStyle w:val="BodyText"/>
      </w:pPr>
      <w:r>
        <w:t xml:space="preserve">First, on</w:t>
      </w:r>
      <w:r>
        <w:t xml:space="preserve"> </w:t>
      </w:r>
      <w:r>
        <w:rPr>
          <w:b/>
          <w:bCs/>
        </w:rPr>
        <w:t xml:space="preserve">scope</w:t>
      </w:r>
      <w:r>
        <w:t xml:space="preserve">: we agree that our strongest contribution is not a theorem that covers all tested substrates. The theorem-backed part is the exact finite-</w:t>
      </w:r>
      <m:oMath>
        <m:r>
          <m:t>v</m:t>
        </m:r>
      </m:oMath>
      <w:r>
        <w:t xml:space="preserve"> </w:t>
      </w:r>
      <w:r>
        <w:t xml:space="preserve">log-normal tier-ratio identity and its connection to the Hanin–Nica regime. The broader claim is empirical. In the revision, we will make this hierarchy explicit throughout the title, abstract, and conclusion, replacing any wording that can be read as theorem-level support for trained residual, attention, or SSM architectures. Our intended claim is:</w:t>
      </w:r>
      <w:r>
        <w:t xml:space="preserve"> </w:t>
      </w:r>
      <w:r>
        <w:rPr>
          <w:b/>
          <w:bCs/>
        </w:rPr>
        <w:t xml:space="preserve">within a broad tested panel, the FIM-diagonal tier hierarchy strongly separates deep layer-stacked systems from non-deep controls, while the mechanistic explanation is rigorously justified only in a narrower random-matrix regime and empirically supported elsewhere</w:t>
      </w:r>
      <w:r>
        <w:t xml:space="preserve">.</w:t>
      </w:r>
    </w:p>
    <w:p>
      <w:pPr>
        <w:pStyle w:val="BodyText"/>
      </w:pPr>
      <w:r>
        <w:t xml:space="preserve">Second, on</w:t>
      </w:r>
      <w:r>
        <w:t xml:space="preserve"> </w:t>
      </w:r>
      <w:r>
        <w:rPr>
          <w:b/>
          <w:bCs/>
        </w:rPr>
        <w:t xml:space="preserve">comparisons to prior work</w:t>
      </w:r>
      <w:r>
        <w:t xml:space="preserve">: we agree that a narrative comparison is not enough. In the revision, we will add a matched experiment table comparing our statistic against the closest alternatives on the same checkpoints: FIM-spectrum concentration measures, Hessian-outlier diagnostics where applicable, and weight-spectrum heavy-tail diagnostics. Our goal is not to replace those observables, but to show when the diagonal FIM tier ratio adds unique information, especially in label-free or random-initialization settings.</w:t>
      </w:r>
    </w:p>
    <w:p>
      <w:pPr>
        <w:pStyle w:val="BodyText"/>
      </w:pPr>
      <w:r>
        <w:t xml:space="preserve">Third, on</w:t>
      </w:r>
      <w:r>
        <w:t xml:space="preserve"> </w:t>
      </w:r>
      <w:r>
        <w:rPr>
          <w:b/>
          <w:bCs/>
        </w:rPr>
        <w:t xml:space="preserve">reproducibility and artifacts</w:t>
      </w:r>
      <w:r>
        <w:t xml:space="preserve">: the supplement already describes the full anonymous repository, deterministic settings, claim manifest, and exact experiment scripts, but we agree that these materials should be visible as part of the review package rather than only described. We will surface the checklist, raw JSON outputs, exact checkpoint provenance, and the claim-to-artifact manifest directly in the revision, and we will add a compact table listing seeds, probes, dtypes, and command lines for every main result.</w:t>
      </w:r>
    </w:p>
    <w:p>
      <w:pPr>
        <w:pStyle w:val="BodyText"/>
      </w:pPr>
      <w:r>
        <w:t xml:space="preserve">Fourth, on the</w:t>
      </w:r>
      <w:r>
        <w:t xml:space="preserve"> </w:t>
      </w:r>
      <w:r>
        <w:rPr>
          <w:b/>
          <w:bCs/>
        </w:rPr>
        <w:t xml:space="preserve">production-scale evidence</w:t>
      </w:r>
      <w:r>
        <w:t xml:space="preserve">: we appreciate the request for clarification. The production-scale results reported in the paper are measurements on fixed pretrained checkpoints; what was not measured in this submission is corresponding large-scale</w:t>
      </w:r>
      <w:r>
        <w:t xml:space="preserve"> </w:t>
      </w:r>
      <w:r>
        <w:rPr>
          <w:b/>
          <w:bCs/>
        </w:rPr>
        <w:t xml:space="preserve">from-scratch training</w:t>
      </w:r>
      <w:r>
        <w:t xml:space="preserve">. We will revise the wording to make that distinction explicit and avoid ambiguity. We will also add uncertainty estimates for these measurements and, where feasible, repeated estimator runs or additional checkpoints.</w:t>
      </w:r>
    </w:p>
    <w:p>
      <w:pPr>
        <w:pStyle w:val="BodyText"/>
      </w:pPr>
      <w:r>
        <w:t xml:space="preserve">Finally, on</w:t>
      </w:r>
      <w:r>
        <w:t xml:space="preserve"> </w:t>
      </w:r>
      <w:r>
        <w:rPr>
          <w:b/>
          <w:bCs/>
        </w:rPr>
        <w:t xml:space="preserve">what reviewers should take away even if they remain conservative about the strongest wording</w:t>
      </w:r>
      <w:r>
        <w:t xml:space="preserve">: we believe the submission still contributes a new observable, a broad falsification-oriented panel, and a reusable empirical finding that is interesting independently of the most aggressive universality phrasing. If the reviewers prefer, we are fully willing to narrow the title and central claim to emphasize a strong empirical regularity rather than an unrestricted universality statement.</w:t>
      </w:r>
    </w:p>
    <w:bookmarkEnd w:id="39"/>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[14]</w:t>
        </w:r>
      </w:hyperlink>
      <w:r>
        <w:t xml:space="preserve"> </w:t>
      </w:r>
      <w:r>
        <w:t xml:space="preserve">2026 Reviewer Guidelines</w:t>
      </w:r>
    </w:p>
    <w:p>
      <w:pPr>
        <w:pStyle w:val="BodyText"/>
      </w:pPr>
      <w:hyperlink r:id="rId21">
        <w:r>
          <w:rPr>
            <w:rStyle w:val="Hyperlink"/>
          </w:rPr>
          <w:t xml:space="preserve">https://neurips.cc/Conferences/2026/ReviewerGuidelines</w:t>
        </w:r>
      </w:hyperlink>
    </w:p>
    <w:p>
      <w:pPr>
        <w:pStyle w:val="BodyText"/>
      </w:pPr>
      <w:hyperlink r:id="rId25">
        <w:r>
          <w:rPr>
            <w:rStyle w:val="Hyperlink"/>
          </w:rPr>
          <w:t xml:space="preserve">[3]</w:t>
        </w:r>
      </w:hyperlink>
      <w:r>
        <w:t xml:space="preserve"> </w:t>
      </w:r>
      <w:hyperlink r:id="rId25">
        <w:r>
          <w:rPr>
            <w:rStyle w:val="Hyperlink"/>
          </w:rPr>
          <w:t xml:space="preserve">[6]</w:t>
        </w:r>
      </w:hyperlink>
      <w:r>
        <w:t xml:space="preserve"> </w:t>
      </w:r>
      <w:hyperlink r:id="rId25">
        <w:r>
          <w:rPr>
            <w:rStyle w:val="Hyperlink"/>
          </w:rPr>
          <w:t xml:space="preserve">[11]</w:t>
        </w:r>
      </w:hyperlink>
      <w:r>
        <w:t xml:space="preserve"> </w:t>
      </w:r>
      <w:r>
        <w:t xml:space="preserve">Universal Statistics of Fisher Information in Deep Neural Networks: Mean Field Approach</w:t>
      </w:r>
    </w:p>
    <w:p>
      <w:pPr>
        <w:pStyle w:val="BodyText"/>
      </w:pPr>
      <w:hyperlink r:id="rId25">
        <w:r>
          <w:rPr>
            <w:rStyle w:val="Hyperlink"/>
          </w:rPr>
          <w:t xml:space="preserve">https://arxiv.org/abs/1806.01316?utm_source=chatgpt.com</w:t>
        </w:r>
      </w:hyperlink>
    </w:p>
    <w:p>
      <w:pPr>
        <w:pStyle w:val="BodyText"/>
      </w:pPr>
      <w:hyperlink r:id="rId26">
        <w:r>
          <w:rPr>
            <w:rStyle w:val="Hyperlink"/>
          </w:rPr>
          <w:t xml:space="preserve">[7]</w:t>
        </w:r>
      </w:hyperlink>
      <w:r>
        <w:t xml:space="preserve"> </w:t>
      </w:r>
      <w:r>
        <w:t xml:space="preserve">Products of Many Large Random Matrices and Gradients in Deep Neural Networks</w:t>
      </w:r>
    </w:p>
    <w:p>
      <w:pPr>
        <w:pStyle w:val="BodyText"/>
      </w:pPr>
      <w:hyperlink r:id="rId26">
        <w:r>
          <w:rPr>
            <w:rStyle w:val="Hyperlink"/>
          </w:rPr>
          <w:t xml:space="preserve">https://arxiv.org/abs/1812.05994?utm_source=chatgpt.com</w:t>
        </w:r>
      </w:hyperlink>
    </w:p>
    <w:p>
      <w:pPr>
        <w:pStyle w:val="BodyText"/>
      </w:pPr>
      <w:hyperlink r:id="rId27">
        <w:r>
          <w:rPr>
            <w:rStyle w:val="Hyperlink"/>
          </w:rPr>
          <w:t xml:space="preserve">[8]</w:t>
        </w:r>
      </w:hyperlink>
      <w:r>
        <w:t xml:space="preserve"> </w:t>
      </w:r>
      <w:r>
        <w:t xml:space="preserve">Ethics Guidelines</w:t>
      </w:r>
    </w:p>
    <w:p>
      <w:pPr>
        <w:pStyle w:val="BodyText"/>
      </w:pPr>
      <w:hyperlink r:id="rId27">
        <w:r>
          <w:rPr>
            <w:rStyle w:val="Hyperlink"/>
          </w:rPr>
          <w:t xml:space="preserve">https://neurips.cc/public/EthicsGuidelines</w:t>
        </w:r>
      </w:hyperlink>
    </w:p>
    <w:p>
      <w:pPr>
        <w:pStyle w:val="BodyText"/>
      </w:pPr>
      <w:hyperlink r:id="rId29">
        <w:r>
          <w:rPr>
            <w:rStyle w:val="Hyperlink"/>
          </w:rPr>
          <w:t xml:space="preserve">[9]</w:t>
        </w:r>
      </w:hyperlink>
      <w:r>
        <w:t xml:space="preserve"> </w:t>
      </w:r>
      <w:r>
        <w:t xml:space="preserve">PaperInformation / PaperChecklist</w:t>
      </w:r>
    </w:p>
    <w:p>
      <w:pPr>
        <w:pStyle w:val="BodyText"/>
      </w:pPr>
      <w:hyperlink r:id="rId29">
        <w:r>
          <w:rPr>
            <w:rStyle w:val="Hyperlink"/>
          </w:rPr>
          <w:t xml:space="preserve">https://neurips.cc/public/guides/PaperChecklist</w:t>
        </w:r>
      </w:hyperlink>
    </w:p>
    <w:p>
      <w:pPr>
        <w:pStyle w:val="BodyText"/>
      </w:pPr>
      <w:hyperlink r:id="rId34">
        <w:r>
          <w:rPr>
            <w:rStyle w:val="Hyperlink"/>
          </w:rPr>
          <w:t xml:space="preserve">[10]</w:t>
        </w:r>
      </w:hyperlink>
      <w:r>
        <w:t xml:space="preserve"> </w:t>
      </w:r>
      <w:r>
        <w:t xml:space="preserve">The Spectrum of the Fisher Information Matrix of a Single ...</w:t>
      </w:r>
    </w:p>
    <w:p>
      <w:pPr>
        <w:pStyle w:val="BodyText"/>
      </w:pPr>
      <w:hyperlink r:id="rId34">
        <w:r>
          <w:rPr>
            <w:rStyle w:val="Hyperlink"/>
          </w:rPr>
          <w:t xml:space="preserve">https://proceedings.neurips.cc/paper/2018/hash/18bb68e2b38e4a8ce7cf4f6b2625768c-Abstract.html?utm_source=chatgpt.com</w:t>
        </w:r>
      </w:hyperlink>
    </w:p>
    <w:p>
      <w:pPr>
        <w:pStyle w:val="BodyText"/>
      </w:pPr>
      <w:hyperlink r:id="rId35">
        <w:r>
          <w:rPr>
            <w:rStyle w:val="Hyperlink"/>
          </w:rPr>
          <w:t xml:space="preserve">[12]</w:t>
        </w:r>
      </w:hyperlink>
      <w:r>
        <w:t xml:space="preserve"> </w:t>
      </w:r>
      <w:r>
        <w:t xml:space="preserve">Measurements of Three-Level Hierarchical Structure in the Outliers in the Spectrum of Deepnet Hessians</w:t>
      </w:r>
    </w:p>
    <w:p>
      <w:pPr>
        <w:pStyle w:val="BodyText"/>
      </w:pPr>
      <w:hyperlink r:id="rId35">
        <w:r>
          <w:rPr>
            <w:rStyle w:val="Hyperlink"/>
          </w:rPr>
          <w:t xml:space="preserve">https://arxiv.org/abs/1901.08244?utm_source=chatgpt.com</w:t>
        </w:r>
      </w:hyperlink>
    </w:p>
    <w:p>
      <w:pPr>
        <w:pStyle w:val="BodyText"/>
      </w:pPr>
      <w:hyperlink r:id="rId36">
        <w:r>
          <w:rPr>
            <w:rStyle w:val="Hyperlink"/>
          </w:rPr>
          <w:t xml:space="preserve">[13]</w:t>
        </w:r>
      </w:hyperlink>
      <w:r>
        <w:t xml:space="preserve"> </w:t>
      </w:r>
      <w:r>
        <w:t xml:space="preserve">Implicit Self-Regularization in Deep Neural Networks: Evidence from Random Matrix Theory and Implications for Learning</w:t>
      </w:r>
    </w:p>
    <w:p>
      <w:pPr>
        <w:pStyle w:val="BodyText"/>
      </w:pPr>
      <w:hyperlink r:id="rId36">
        <w:r>
          <w:rPr>
            <w:rStyle w:val="Hyperlink"/>
          </w:rPr>
          <w:t xml:space="preserve">https://arxiv.org/abs/1810.01075?utm_source=chatgpt.com</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1806.01316?utm_source=chatgpt.com" TargetMode="External" /><Relationship Type="http://schemas.openxmlformats.org/officeDocument/2006/relationships/hyperlink" Id="rId36" Target="https://arxiv.org/abs/1810.01075?utm_source=chatgpt.com" TargetMode="External" /><Relationship Type="http://schemas.openxmlformats.org/officeDocument/2006/relationships/hyperlink" Id="rId26" Target="https://arxiv.org/abs/1812.05994?utm_source=chatgpt.com" TargetMode="External" /><Relationship Type="http://schemas.openxmlformats.org/officeDocument/2006/relationships/hyperlink" Id="rId35" Target="https://arxiv.org/abs/1901.08244?utm_source=chatgpt.com" TargetMode="External" /><Relationship Type="http://schemas.openxmlformats.org/officeDocument/2006/relationships/hyperlink" Id="rId21" Target="https://neurips.cc/Conferences/2026/ReviewerGuidelines" TargetMode="External" /><Relationship Type="http://schemas.openxmlformats.org/officeDocument/2006/relationships/hyperlink" Id="rId27" Target="https://neurips.cc/public/EthicsGuidelines" TargetMode="External" /><Relationship Type="http://schemas.openxmlformats.org/officeDocument/2006/relationships/hyperlink" Id="rId29" Target="https://neurips.cc/public/guides/PaperChecklist" TargetMode="External" /><Relationship Type="http://schemas.openxmlformats.org/officeDocument/2006/relationships/hyperlink" Id="rId34" Target="https://proceedings.neurips.cc/paper/2018/hash/18bb68e2b38e4a8ce7cf4f6b2625768c-Abstract.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1806.01316?utm_source=chatgpt.com" TargetMode="External" /><Relationship Type="http://schemas.openxmlformats.org/officeDocument/2006/relationships/hyperlink" Id="rId36" Target="https://arxiv.org/abs/1810.01075?utm_source=chatgpt.com" TargetMode="External" /><Relationship Type="http://schemas.openxmlformats.org/officeDocument/2006/relationships/hyperlink" Id="rId26" Target="https://arxiv.org/abs/1812.05994?utm_source=chatgpt.com" TargetMode="External" /><Relationship Type="http://schemas.openxmlformats.org/officeDocument/2006/relationships/hyperlink" Id="rId35" Target="https://arxiv.org/abs/1901.08244?utm_source=chatgpt.com" TargetMode="External" /><Relationship Type="http://schemas.openxmlformats.org/officeDocument/2006/relationships/hyperlink" Id="rId21" Target="https://neurips.cc/Conferences/2026/ReviewerGuidelines" TargetMode="External" /><Relationship Type="http://schemas.openxmlformats.org/officeDocument/2006/relationships/hyperlink" Id="rId27" Target="https://neurips.cc/public/EthicsGuidelines" TargetMode="External" /><Relationship Type="http://schemas.openxmlformats.org/officeDocument/2006/relationships/hyperlink" Id="rId29" Target="https://neurips.cc/public/guides/PaperChecklist" TargetMode="External" /><Relationship Type="http://schemas.openxmlformats.org/officeDocument/2006/relationships/hyperlink" Id="rId34" Target="https://proceedings.neurips.cc/paper/2018/hash/18bb68e2b38e4a8ce7cf4f6b2625768c-Abstract.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2026-04-27T04:06:56Z</dcterms:created>
  <dcterms:modified xsi:type="dcterms:W3CDTF">2026-04-27T04:06:56Z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