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D3557"/>
          <w:sz w:val="44"/>
          <w:szCs w:val="44"/>
        </w:rPr>
        <w:t xml:space="preserve">Simplified Public Sector English</w:t>
      </w:r>
    </w:p>
    <w:p>
      <w:pPr>
        <w:spacing w:after="320"/>
      </w:pPr>
      <w:r>
        <w:rPr>
          <w:i/>
          <w:iCs/>
          <w:sz w:val="26"/>
          <w:szCs w:val="26"/>
        </w:rPr>
        <w:t xml:space="preserve">A plain-language style guide for content designers and editors</w:t>
      </w:r>
    </w:p>
    <w:p>
      <w:pPr>
        <w:pStyle w:val="Heading1"/>
        <w:spacing w:after="160" w:before="320"/>
      </w:pPr>
      <w:r>
        <w:t xml:space="preserve">What this guide is for</w:t>
      </w:r>
    </w:p>
    <w:p>
      <w:pPr>
        <w:spacing w:after="160"/>
      </w:pPr>
      <w:r>
        <w:rPr>
          <w:b w:val="false"/>
          <w:bCs w:val="false"/>
          <w:i w:val="false"/>
          <w:iCs w:val="false"/>
        </w:rPr>
        <w:t xml:space="preserve">This guide sets out the Simplified Public Sector English (SPSE) house style: a plain-language standard for public sector writing. It draws on three sources: a simplified version of ASD-STE100 (Simplified Technical English, a standard originally built for aircraft maintenance manuals), the Basic English vocabulary, and the UK Government Digital Service (GOV.UK) content design guidelines.</w:t>
      </w:r>
    </w:p>
    <w:p>
      <w:pPr>
        <w:spacing w:after="160"/>
      </w:pPr>
      <w:r>
        <w:rPr>
          <w:b w:val="false"/>
          <w:bCs w:val="false"/>
          <w:i w:val="false"/>
          <w:iCs w:val="false"/>
        </w:rPr>
        <w:t xml:space="preserve">It is written for people, not for an AI tool. If you edit reports, guidance, letters, web pages, or other public-facing documents, this guide gives you the rules to apply and enough examples to apply them confidently.</w:t>
      </w:r>
    </w:p>
    <w:p>
      <w:pPr>
        <w:pStyle w:val="Heading1"/>
        <w:spacing w:after="160" w:before="320"/>
      </w:pPr>
      <w:r>
        <w:t xml:space="preserve">Quick checklist</w:t>
      </w:r>
    </w:p>
    <w:p>
      <w:pPr>
        <w:spacing w:after="160"/>
      </w:pPr>
      <w:r>
        <w:rPr>
          <w:b w:val="false"/>
          <w:bCs w:val="false"/>
          <w:i w:val="false"/>
          <w:iCs w:val="false"/>
        </w:rPr>
        <w:t xml:space="preserve">Before you sign off any piece of writing, check it against this list:</w:t>
      </w:r>
    </w:p>
    <w:p>
      <w:pPr>
        <w:pStyle w:val="ListParagraph"/>
        <w:numPr>
          <w:ilvl w:val="0"/>
          <w:numId w:val="1"/>
        </w:numPr>
        <w:spacing w:after="80"/>
      </w:pPr>
      <w:r>
        <w:t xml:space="preserve">No sentence is longer than 40 words.</w:t>
      </w:r>
    </w:p>
    <w:p>
      <w:pPr>
        <w:pStyle w:val="ListParagraph"/>
        <w:numPr>
          <w:ilvl w:val="0"/>
          <w:numId w:val="1"/>
        </w:numPr>
        <w:spacing w:after="80"/>
      </w:pPr>
      <w:r>
        <w:t xml:space="preserve">No paragraph is longer than 5 sentences.</w:t>
      </w:r>
    </w:p>
    <w:p>
      <w:pPr>
        <w:pStyle w:val="ListParagraph"/>
        <w:numPr>
          <w:ilvl w:val="0"/>
          <w:numId w:val="1"/>
        </w:numPr>
        <w:spacing w:after="80"/>
      </w:pPr>
      <w:r>
        <w:t xml:space="preserve">No semicolons anywhere.</w:t>
      </w:r>
    </w:p>
    <w:p>
      <w:pPr>
        <w:pStyle w:val="ListParagraph"/>
        <w:numPr>
          <w:ilvl w:val="0"/>
          <w:numId w:val="1"/>
        </w:numPr>
        <w:spacing w:after="80"/>
      </w:pPr>
      <w:r>
        <w:t xml:space="preserve">Every sentence is in the active voice, unless the actor genuinely doesn't matter.</w:t>
      </w:r>
    </w:p>
    <w:p>
      <w:pPr>
        <w:pStyle w:val="ListParagraph"/>
        <w:numPr>
          <w:ilvl w:val="0"/>
          <w:numId w:val="1"/>
        </w:numPr>
        <w:spacing w:after="80"/>
      </w:pPr>
      <w:r>
        <w:t xml:space="preserve">No word or phrase from the banned-words list (see page with examples, and the companion word list) survives unreplaced.</w:t>
      </w:r>
    </w:p>
    <w:p>
      <w:pPr>
        <w:pStyle w:val="ListParagraph"/>
        <w:numPr>
          <w:ilvl w:val="0"/>
          <w:numId w:val="1"/>
        </w:numPr>
        <w:spacing w:after="80"/>
      </w:pPr>
      <w:r>
        <w:t xml:space="preserve">Any list of more than 2 or 3 items is a bulleted or numbered list, not a run-on sentence.</w:t>
      </w:r>
    </w:p>
    <w:p>
      <w:pPr>
        <w:pStyle w:val="ListParagraph"/>
        <w:numPr>
          <w:ilvl w:val="0"/>
          <w:numId w:val="1"/>
        </w:numPr>
        <w:spacing w:after="80"/>
      </w:pPr>
      <w:r>
        <w:t xml:space="preserve">Negative contractions ("can't", "don't") and compound contractions ("should've") are spelled out in full. Ordinary contractions ("it's", "you'll") are fine.</w:t>
      </w:r>
    </w:p>
    <w:p>
      <w:pPr>
        <w:pStyle w:val="ListParagraph"/>
        <w:numPr>
          <w:ilvl w:val="0"/>
          <w:numId w:val="1"/>
        </w:numPr>
        <w:spacing w:after="80"/>
      </w:pPr>
      <w:r>
        <w:t xml:space="preserve">Headings and titles are descriptive, frontloaded, and never phrased as a question.</w:t>
      </w:r>
    </w:p>
    <w:p>
      <w:pPr>
        <w:pStyle w:val="ListParagraph"/>
        <w:numPr>
          <w:ilvl w:val="0"/>
          <w:numId w:val="1"/>
        </w:numPr>
        <w:spacing w:after="80"/>
      </w:pPr>
      <w:r>
        <w:t xml:space="preserve">Numbers, dates, times, money, and ages follow the formats set out below.</w:t>
      </w:r>
    </w:p>
    <w:p>
      <w:pPr>
        <w:pStyle w:val="ListParagraph"/>
        <w:numPr>
          <w:ilvl w:val="0"/>
          <w:numId w:val="1"/>
        </w:numPr>
        <w:spacing w:after="80"/>
      </w:pPr>
      <w:r>
        <w:t xml:space="preserve">No offensive or discriminatory language has been carried over from a source document — flag it instead of quietly editing around it.</w:t>
      </w:r>
    </w:p>
    <w:p>
      <w:pPr>
        <w:pStyle w:val="Heading1"/>
        <w:spacing w:after="160" w:before="320"/>
      </w:pPr>
      <w:r>
        <w:t xml:space="preserve">1. Sentences and paragraphs</w:t>
      </w:r>
    </w:p>
    <w:p>
      <w:pPr>
        <w:pStyle w:val="ListParagraph"/>
        <w:numPr>
          <w:ilvl w:val="0"/>
          <w:numId w:val="1"/>
        </w:numPr>
        <w:spacing w:after="80"/>
      </w:pPr>
      <w:r>
        <w:t xml:space="preserve">Keep sentences to 40 words or fewer. If a sentence runs longer, split it.</w:t>
      </w:r>
    </w:p>
    <w:p>
      <w:pPr>
        <w:pStyle w:val="ListParagraph"/>
        <w:numPr>
          <w:ilvl w:val="0"/>
          <w:numId w:val="1"/>
        </w:numPr>
        <w:spacing w:after="80"/>
      </w:pPr>
      <w:r>
        <w:t xml:space="preserve">Give each sentence one idea. If a sentence covers two ideas joined by "and", "which", or a semicolon, split it into two sentences.</w:t>
      </w:r>
    </w:p>
    <w:p>
      <w:pPr>
        <w:pStyle w:val="ListParagraph"/>
        <w:numPr>
          <w:ilvl w:val="0"/>
          <w:numId w:val="1"/>
        </w:numPr>
        <w:spacing w:after="80"/>
      </w:pPr>
      <w:r>
        <w:t xml:space="preserve">Never use a semicolon. Use two sentences instead.</w:t>
      </w:r>
    </w:p>
    <w:p>
      <w:pPr>
        <w:pStyle w:val="ListParagraph"/>
        <w:numPr>
          <w:ilvl w:val="0"/>
          <w:numId w:val="1"/>
        </w:numPr>
        <w:spacing w:after="80"/>
      </w:pPr>
      <w:r>
        <w:t xml:space="preserve">Keep paragraphs to 5 sentences or fewer, and keep each paragraph on a single topic.</w:t>
      </w:r>
    </w:p>
    <w:p>
      <w:pPr>
        <w:pStyle w:val="ListParagraph"/>
        <w:numPr>
          <w:ilvl w:val="0"/>
          <w:numId w:val="1"/>
        </w:numPr>
        <w:spacing w:after="80"/>
      </w:pPr>
      <w:r>
        <w:t xml:space="preserve">Turn any list of more than 2 or 3 related items, steps, or conditions into a vertical bulleted or numbered list.</w:t>
      </w:r>
    </w:p>
    <w:p>
      <w:pPr>
        <w:pStyle w:val="ListParagraph"/>
        <w:numPr>
          <w:ilvl w:val="0"/>
          <w:numId w:val="1"/>
        </w:numPr>
        <w:spacing w:after="80"/>
      </w:pPr>
      <w:r>
        <w:t xml:space="preserve">Link related sentences with connecting words ("but", "so", "before", "after", "if") rather than long subordinate clauses.</w:t>
      </w:r>
    </w:p>
    <w:p>
      <w:pPr>
        <w:spacing w:after="40"/>
      </w:pPr>
      <w:r>
        <w:rPr>
          <w:b/>
          <w:bCs/>
        </w:rPr>
        <w:t xml:space="preserve">Instead of: </w:t>
      </w:r>
      <w:r>
        <w:rPr>
          <w:i/>
          <w:iCs/>
        </w:rPr>
        <w:t xml:space="preserve">The scheme, which was introduced in 2019 and has since been extended twice, is designed to support small businesses, sole traders and charities that meet the eligibility criteria set out in the accompanying guidance, and applications can be made online or by post.</w:t>
      </w:r>
    </w:p>
    <w:p>
      <w:pPr>
        <w:spacing w:after="160"/>
      </w:pPr>
      <w:r>
        <w:rPr>
          <w:b/>
          <w:bCs/>
        </w:rPr>
        <w:t xml:space="preserve">Write: </w:t>
      </w:r>
      <w:r>
        <w:t xml:space="preserve">The scheme was introduced in 2019 and has been extended twice since. It supports small businesses, sole traders, and charities that meet the eligibility criteria. You can apply online or by post.</w:t>
      </w:r>
    </w:p>
    <w:p>
      <w:pPr>
        <w:pStyle w:val="Heading1"/>
        <w:spacing w:after="160" w:before="320"/>
      </w:pPr>
      <w:r>
        <w:t xml:space="preserve">2. Choosing words</w:t>
      </w:r>
    </w:p>
    <w:p>
      <w:pPr>
        <w:pStyle w:val="ListParagraph"/>
        <w:numPr>
          <w:ilvl w:val="0"/>
          <w:numId w:val="1"/>
        </w:numPr>
        <w:spacing w:after="80"/>
      </w:pPr>
      <w:r>
        <w:t xml:space="preserve">Use short, familiar words over longer or more formal ones.</w:t>
      </w:r>
    </w:p>
    <w:p>
      <w:pPr>
        <w:pStyle w:val="ListParagraph"/>
        <w:numPr>
          <w:ilvl w:val="0"/>
          <w:numId w:val="1"/>
        </w:numPr>
        <w:spacing w:after="80"/>
      </w:pPr>
      <w:r>
        <w:t xml:space="preserve">Be cautious with words ending in "-ion" and "-ment" — a plainer word often exists and reads faster.</w:t>
      </w:r>
    </w:p>
    <w:p>
      <w:pPr>
        <w:pStyle w:val="ListParagraph"/>
        <w:numPr>
          <w:ilvl w:val="0"/>
          <w:numId w:val="1"/>
        </w:numPr>
        <w:spacing w:after="80"/>
      </w:pPr>
      <w:r>
        <w:t xml:space="preserve">Avoid idioms, phrasal verbs, jargon, slang, rhetorical questions, and sarcasm. State the underlying point plainly.</w:t>
      </w:r>
    </w:p>
    <w:p>
      <w:pPr>
        <w:pStyle w:val="ListParagraph"/>
        <w:numPr>
          <w:ilvl w:val="0"/>
          <w:numId w:val="1"/>
        </w:numPr>
        <w:spacing w:after="80"/>
      </w:pPr>
      <w:r>
        <w:t xml:space="preserve">Use one term per concept, and use it consistently. Don't switch between synonyms for the same thing partway through a document.</w:t>
      </w:r>
    </w:p>
    <w:p>
      <w:pPr>
        <w:pStyle w:val="ListParagraph"/>
        <w:numPr>
          <w:ilvl w:val="0"/>
          <w:numId w:val="1"/>
        </w:numPr>
        <w:spacing w:after="80"/>
      </w:pPr>
      <w:r>
        <w:t xml:space="preserve">Match the strength of the word to the strength of the requirement: "must" for a legal requirement, "need to" for an administrative step, "can" for something optional.</w:t>
      </w:r>
    </w:p>
    <w:p>
      <w:pPr>
        <w:spacing w:after="40"/>
      </w:pPr>
      <w:r>
        <w:rPr>
          <w:b/>
          <w:bCs/>
        </w:rPr>
        <w:t xml:space="preserve">Instead of: </w:t>
      </w:r>
      <w:r>
        <w:rPr>
          <w:i/>
          <w:iCs/>
        </w:rPr>
        <w:t xml:space="preserve">This document sets out the requisite steps to facilitate a smooth transition.</w:t>
      </w:r>
    </w:p>
    <w:p>
      <w:pPr>
        <w:spacing w:after="160"/>
      </w:pPr>
      <w:r>
        <w:rPr>
          <w:b/>
          <w:bCs/>
        </w:rPr>
        <w:t xml:space="preserve">Write: </w:t>
      </w:r>
      <w:r>
        <w:t xml:space="preserve">This document sets out the steps you need to take for a smooth handover.</w:t>
      </w:r>
    </w:p>
    <w:p>
      <w:pPr>
        <w:pStyle w:val="Heading2"/>
        <w:spacing w:after="120" w:before="260"/>
      </w:pPr>
      <w:r>
        <w:t xml:space="preserve">Common word swaps</w:t>
      </w:r>
    </w:p>
    <w:p>
      <w:pPr>
        <w:spacing w:after="160"/>
      </w:pPr>
      <w:r>
        <w:rPr>
          <w:b w:val="false"/>
          <w:bCs w:val="false"/>
          <w:i w:val="false"/>
          <w:iCs w:val="false"/>
        </w:rPr>
        <w:t xml:space="preserve">These are some of the most frequent swaps. The companion word list (spse-banned-words.txt) has the full list, merged with GOV.UK's official "words to avoid"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1D3557" w:val="clear"/>
          </w:tcPr>
          <w:p>
            <w:r>
              <w:rPr>
                <w:b/>
                <w:bCs/>
                <w:color w:val="FFFFFF"/>
              </w:rPr>
              <w:t xml:space="preserve">Avoid</w:t>
            </w:r>
          </w:p>
        </w:tc>
        <w:tc>
          <w:tcPr>
            <w:tcW w:type="pct" w:w="50%"/>
            <w:shd w:fill="1D3557" w:val="clear"/>
          </w:tcPr>
          <w:p>
            <w:r>
              <w:rPr>
                <w:b/>
                <w:bCs/>
                <w:color w:val="FFFFFF"/>
              </w:rPr>
              <w:t xml:space="preserve">Use instead</w:t>
            </w:r>
          </w:p>
        </w:tc>
      </w:tr>
      <w:tr>
        <w:tc>
          <w:tcPr>
            <w:tcW w:type="pct" w:w="50%"/>
          </w:tcPr>
          <w:p>
            <w:r>
              <w:t xml:space="preserve">facilitate</w:t>
            </w:r>
          </w:p>
        </w:tc>
        <w:tc>
          <w:tcPr>
            <w:tcW w:type="pct" w:w="50%"/>
          </w:tcPr>
          <w:p>
            <w:r>
              <w:t xml:space="preserve">help</w:t>
            </w:r>
          </w:p>
        </w:tc>
      </w:tr>
      <w:tr>
        <w:tc>
          <w:tcPr>
            <w:tcW w:type="pct" w:w="50%"/>
            <w:shd w:fill="F2F2F2" w:val="clear"/>
          </w:tcPr>
          <w:p>
            <w:r>
              <w:t xml:space="preserve">utilise</w:t>
            </w:r>
          </w:p>
        </w:tc>
        <w:tc>
          <w:tcPr>
            <w:tcW w:type="pct" w:w="50%"/>
            <w:shd w:fill="F2F2F2" w:val="clear"/>
          </w:tcPr>
          <w:p>
            <w:r>
              <w:t xml:space="preserve">use</w:t>
            </w:r>
          </w:p>
        </w:tc>
      </w:tr>
      <w:tr>
        <w:tc>
          <w:tcPr>
            <w:tcW w:type="pct" w:w="50%"/>
          </w:tcPr>
          <w:p>
            <w:r>
              <w:t xml:space="preserve">leverage (as a verb)</w:t>
            </w:r>
          </w:p>
        </w:tc>
        <w:tc>
          <w:tcPr>
            <w:tcW w:type="pct" w:w="50%"/>
          </w:tcPr>
          <w:p>
            <w:r>
              <w:t xml:space="preserve">use</w:t>
            </w:r>
          </w:p>
        </w:tc>
      </w:tr>
      <w:tr>
        <w:tc>
          <w:tcPr>
            <w:tcW w:type="pct" w:w="50%"/>
            <w:shd w:fill="F2F2F2" w:val="clear"/>
          </w:tcPr>
          <w:p>
            <w:r>
              <w:t xml:space="preserve">going forward</w:t>
            </w:r>
          </w:p>
        </w:tc>
        <w:tc>
          <w:tcPr>
            <w:tcW w:type="pct" w:w="50%"/>
            <w:shd w:fill="F2F2F2" w:val="clear"/>
          </w:tcPr>
          <w:p>
            <w:r>
              <w:t xml:space="preserve">from now on / in future</w:t>
            </w:r>
          </w:p>
        </w:tc>
      </w:tr>
      <w:tr>
        <w:tc>
          <w:tcPr>
            <w:tcW w:type="pct" w:w="50%"/>
          </w:tcPr>
          <w:p>
            <w:r>
              <w:t xml:space="preserve">in order to</w:t>
            </w:r>
          </w:p>
        </w:tc>
        <w:tc>
          <w:tcPr>
            <w:tcW w:type="pct" w:w="50%"/>
          </w:tcPr>
          <w:p>
            <w:r>
              <w:t xml:space="preserve">to</w:t>
            </w:r>
          </w:p>
        </w:tc>
      </w:tr>
      <w:tr>
        <w:tc>
          <w:tcPr>
            <w:tcW w:type="pct" w:w="50%"/>
            <w:shd w:fill="F2F2F2" w:val="clear"/>
          </w:tcPr>
          <w:p>
            <w:r>
              <w:t xml:space="preserve">commence</w:t>
            </w:r>
          </w:p>
        </w:tc>
        <w:tc>
          <w:tcPr>
            <w:tcW w:type="pct" w:w="50%"/>
            <w:shd w:fill="F2F2F2" w:val="clear"/>
          </w:tcPr>
          <w:p>
            <w:r>
              <w:t xml:space="preserve">start</w:t>
            </w:r>
          </w:p>
        </w:tc>
      </w:tr>
      <w:tr>
        <w:tc>
          <w:tcPr>
            <w:tcW w:type="pct" w:w="50%"/>
          </w:tcPr>
          <w:p>
            <w:r>
              <w:t xml:space="preserve">approximately</w:t>
            </w:r>
          </w:p>
        </w:tc>
        <w:tc>
          <w:tcPr>
            <w:tcW w:type="pct" w:w="50%"/>
          </w:tcPr>
          <w:p>
            <w:r>
              <w:t xml:space="preserve">about</w:t>
            </w:r>
          </w:p>
        </w:tc>
      </w:tr>
      <w:tr>
        <w:tc>
          <w:tcPr>
            <w:tcW w:type="pct" w:w="50%"/>
            <w:shd w:fill="F2F2F2" w:val="clear"/>
          </w:tcPr>
          <w:p>
            <w:r>
              <w:t xml:space="preserve">endeavour</w:t>
            </w:r>
          </w:p>
        </w:tc>
        <w:tc>
          <w:tcPr>
            <w:tcW w:type="pct" w:w="50%"/>
            <w:shd w:fill="F2F2F2" w:val="clear"/>
          </w:tcPr>
          <w:p>
            <w:r>
              <w:t xml:space="preserve">try</w:t>
            </w:r>
          </w:p>
        </w:tc>
      </w:tr>
      <w:tr>
        <w:tc>
          <w:tcPr>
            <w:tcW w:type="pct" w:w="50%"/>
          </w:tcPr>
          <w:p>
            <w:r>
              <w:t xml:space="preserve">prior to</w:t>
            </w:r>
          </w:p>
        </w:tc>
        <w:tc>
          <w:tcPr>
            <w:tcW w:type="pct" w:w="50%"/>
          </w:tcPr>
          <w:p>
            <w:r>
              <w:t xml:space="preserve">before</w:t>
            </w:r>
          </w:p>
        </w:tc>
      </w:tr>
      <w:tr>
        <w:tc>
          <w:tcPr>
            <w:tcW w:type="pct" w:w="50%"/>
            <w:shd w:fill="F2F2F2" w:val="clear"/>
          </w:tcPr>
          <w:p>
            <w:r>
              <w:t xml:space="preserve">in the event that</w:t>
            </w:r>
          </w:p>
        </w:tc>
        <w:tc>
          <w:tcPr>
            <w:tcW w:type="pct" w:w="50%"/>
            <w:shd w:fill="F2F2F2" w:val="clear"/>
          </w:tcPr>
          <w:p>
            <w:r>
              <w:t xml:space="preserve">if</w:t>
            </w:r>
          </w:p>
        </w:tc>
      </w:tr>
      <w:tr>
        <w:tc>
          <w:tcPr>
            <w:tcW w:type="pct" w:w="50%"/>
          </w:tcPr>
          <w:p>
            <w:r>
              <w:t xml:space="preserve">a number of</w:t>
            </w:r>
          </w:p>
        </w:tc>
        <w:tc>
          <w:tcPr>
            <w:tcW w:type="pct" w:w="50%"/>
          </w:tcPr>
          <w:p>
            <w:r>
              <w:t xml:space="preserve">some / several</w:t>
            </w:r>
          </w:p>
        </w:tc>
      </w:tr>
      <w:tr>
        <w:tc>
          <w:tcPr>
            <w:tcW w:type="pct" w:w="50%"/>
            <w:shd w:fill="F2F2F2" w:val="clear"/>
          </w:tcPr>
          <w:p>
            <w:r>
              <w:t xml:space="preserve">at this moment in time</w:t>
            </w:r>
          </w:p>
        </w:tc>
        <w:tc>
          <w:tcPr>
            <w:tcW w:type="pct" w:w="50%"/>
            <w:shd w:fill="F2F2F2" w:val="clear"/>
          </w:tcPr>
          <w:p>
            <w:r>
              <w:t xml:space="preserve">now</w:t>
            </w:r>
          </w:p>
        </w:tc>
      </w:tr>
      <w:tr>
        <w:tc>
          <w:tcPr>
            <w:tcW w:type="pct" w:w="50%"/>
          </w:tcPr>
          <w:p>
            <w:r>
              <w:t xml:space="preserve">robust</w:t>
            </w:r>
          </w:p>
        </w:tc>
        <w:tc>
          <w:tcPr>
            <w:tcW w:type="pct" w:w="50%"/>
          </w:tcPr>
          <w:p>
            <w:r>
              <w:t xml:space="preserve">strong / reliable</w:t>
            </w:r>
          </w:p>
        </w:tc>
      </w:tr>
      <w:tr>
        <w:tc>
          <w:tcPr>
            <w:tcW w:type="pct" w:w="50%"/>
            <w:shd w:fill="F2F2F2" w:val="clear"/>
          </w:tcPr>
          <w:p>
            <w:r>
              <w:t xml:space="preserve">synergies</w:t>
            </w:r>
          </w:p>
        </w:tc>
        <w:tc>
          <w:tcPr>
            <w:tcW w:type="pct" w:w="50%"/>
            <w:shd w:fill="F2F2F2" w:val="clear"/>
          </w:tcPr>
          <w:p>
            <w:r>
              <w:t xml:space="preserve">shared benefits</w:t>
            </w:r>
          </w:p>
        </w:tc>
      </w:tr>
      <w:tr>
        <w:tc>
          <w:tcPr>
            <w:tcW w:type="pct" w:w="50%"/>
          </w:tcPr>
          <w:p>
            <w:r>
              <w:t xml:space="preserve">streamline</w:t>
            </w:r>
          </w:p>
        </w:tc>
        <w:tc>
          <w:tcPr>
            <w:tcW w:type="pct" w:w="50%"/>
          </w:tcPr>
          <w:p>
            <w:r>
              <w:t xml:space="preserve">simplify</w:t>
            </w:r>
          </w:p>
        </w:tc>
      </w:tr>
      <w:tr>
        <w:tc>
          <w:tcPr>
            <w:tcW w:type="pct" w:w="50%"/>
            <w:shd w:fill="F2F2F2" w:val="clear"/>
          </w:tcPr>
          <w:p>
            <w:r>
              <w:t xml:space="preserve">overarching</w:t>
            </w:r>
          </w:p>
        </w:tc>
        <w:tc>
          <w:tcPr>
            <w:tcW w:type="pct" w:w="50%"/>
            <w:shd w:fill="F2F2F2" w:val="clear"/>
          </w:tcPr>
          <w:p>
            <w:r>
              <w:t xml:space="preserve">main / general</w:t>
            </w:r>
          </w:p>
        </w:tc>
      </w:tr>
    </w:tbl>
    <w:p>
      <w:pPr>
        <w:pStyle w:val="Heading1"/>
        <w:spacing w:after="160" w:before="320"/>
      </w:pPr>
      <w:r>
        <w:t xml:space="preserve">3. Contractions</w:t>
      </w:r>
    </w:p>
    <w:p>
      <w:pPr>
        <w:spacing w:after="160"/>
      </w:pPr>
      <w:r>
        <w:rPr>
          <w:b w:val="false"/>
          <w:bCs w:val="false"/>
          <w:i w:val="false"/>
          <w:iCs w:val="false"/>
        </w:rPr>
        <w:t xml:space="preserve">Ordinary contractions are fine, and support a natural, readable tone: "it's", "you'll", "we're".</w:t>
      </w:r>
    </w:p>
    <w:p>
      <w:pPr>
        <w:spacing w:after="160"/>
      </w:pPr>
      <w:r>
        <w:rPr>
          <w:b w:val="false"/>
          <w:bCs w:val="false"/>
          <w:i w:val="false"/>
          <w:iCs w:val="false"/>
        </w:rPr>
        <w:t xml:space="preserve">Negative contractions must be spelled out in full, because they're easy to misread at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1D3557" w:val="clear"/>
          </w:tcPr>
          <w:p>
            <w:r>
              <w:rPr>
                <w:b/>
                <w:bCs/>
                <w:color w:val="FFFFFF"/>
              </w:rPr>
              <w:t xml:space="preserve">Avoid</w:t>
            </w:r>
          </w:p>
        </w:tc>
        <w:tc>
          <w:tcPr>
            <w:tcW w:type="pct" w:w="50%"/>
            <w:shd w:fill="1D3557" w:val="clear"/>
          </w:tcPr>
          <w:p>
            <w:r>
              <w:rPr>
                <w:b/>
                <w:bCs/>
                <w:color w:val="FFFFFF"/>
              </w:rPr>
              <w:t xml:space="preserve">Use instead</w:t>
            </w:r>
          </w:p>
        </w:tc>
      </w:tr>
      <w:tr>
        <w:tc>
          <w:tcPr>
            <w:tcW w:type="pct" w:w="50%"/>
          </w:tcPr>
          <w:p>
            <w:r>
              <w:t xml:space="preserve">can't</w:t>
            </w:r>
          </w:p>
        </w:tc>
        <w:tc>
          <w:tcPr>
            <w:tcW w:type="pct" w:w="50%"/>
          </w:tcPr>
          <w:p>
            <w:r>
              <w:t xml:space="preserve">cannot</w:t>
            </w:r>
          </w:p>
        </w:tc>
      </w:tr>
      <w:tr>
        <w:tc>
          <w:tcPr>
            <w:tcW w:type="pct" w:w="50%"/>
            <w:shd w:fill="F2F2F2" w:val="clear"/>
          </w:tcPr>
          <w:p>
            <w:r>
              <w:t xml:space="preserve">don't</w:t>
            </w:r>
          </w:p>
        </w:tc>
        <w:tc>
          <w:tcPr>
            <w:tcW w:type="pct" w:w="50%"/>
            <w:shd w:fill="F2F2F2" w:val="clear"/>
          </w:tcPr>
          <w:p>
            <w:r>
              <w:t xml:space="preserve">do not</w:t>
            </w:r>
          </w:p>
        </w:tc>
      </w:tr>
      <w:tr>
        <w:tc>
          <w:tcPr>
            <w:tcW w:type="pct" w:w="50%"/>
          </w:tcPr>
          <w:p>
            <w:r>
              <w:t xml:space="preserve">won't</w:t>
            </w:r>
          </w:p>
        </w:tc>
        <w:tc>
          <w:tcPr>
            <w:tcW w:type="pct" w:w="50%"/>
          </w:tcPr>
          <w:p>
            <w:r>
              <w:t xml:space="preserve">will not</w:t>
            </w:r>
          </w:p>
        </w:tc>
      </w:tr>
      <w:tr>
        <w:tc>
          <w:tcPr>
            <w:tcW w:type="pct" w:w="50%"/>
            <w:shd w:fill="F2F2F2" w:val="clear"/>
          </w:tcPr>
          <w:p>
            <w:r>
              <w:t xml:space="preserve">isn't</w:t>
            </w:r>
          </w:p>
        </w:tc>
        <w:tc>
          <w:tcPr>
            <w:tcW w:type="pct" w:w="50%"/>
            <w:shd w:fill="F2F2F2" w:val="clear"/>
          </w:tcPr>
          <w:p>
            <w:r>
              <w:t xml:space="preserve">is not</w:t>
            </w:r>
          </w:p>
        </w:tc>
      </w:tr>
    </w:tbl>
    <w:p>
      <w:pPr>
        <w:spacing w:after="160"/>
      </w:pPr>
      <w:r>
        <w:rPr>
          <w:b w:val="false"/>
          <w:bCs w:val="false"/>
          <w:i w:val="false"/>
          <w:iCs w:val="false"/>
        </w:rPr>
        <w:t xml:space="preserve">Complex or compound contractions must also be spelled out in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1D3557" w:val="clear"/>
          </w:tcPr>
          <w:p>
            <w:r>
              <w:rPr>
                <w:b/>
                <w:bCs/>
                <w:color w:val="FFFFFF"/>
              </w:rPr>
              <w:t xml:space="preserve">Avoid</w:t>
            </w:r>
          </w:p>
        </w:tc>
        <w:tc>
          <w:tcPr>
            <w:tcW w:type="pct" w:w="50%"/>
            <w:shd w:fill="1D3557" w:val="clear"/>
          </w:tcPr>
          <w:p>
            <w:r>
              <w:rPr>
                <w:b/>
                <w:bCs/>
                <w:color w:val="FFFFFF"/>
              </w:rPr>
              <w:t xml:space="preserve">Use instead</w:t>
            </w:r>
          </w:p>
        </w:tc>
      </w:tr>
      <w:tr>
        <w:tc>
          <w:tcPr>
            <w:tcW w:type="pct" w:w="50%"/>
          </w:tcPr>
          <w:p>
            <w:r>
              <w:t xml:space="preserve">should've</w:t>
            </w:r>
          </w:p>
        </w:tc>
        <w:tc>
          <w:tcPr>
            <w:tcW w:type="pct" w:w="50%"/>
          </w:tcPr>
          <w:p>
            <w:r>
              <w:t xml:space="preserve">should have</w:t>
            </w:r>
          </w:p>
        </w:tc>
      </w:tr>
      <w:tr>
        <w:tc>
          <w:tcPr>
            <w:tcW w:type="pct" w:w="50%"/>
            <w:shd w:fill="F2F2F2" w:val="clear"/>
          </w:tcPr>
          <w:p>
            <w:r>
              <w:t xml:space="preserve">could've</w:t>
            </w:r>
          </w:p>
        </w:tc>
        <w:tc>
          <w:tcPr>
            <w:tcW w:type="pct" w:w="50%"/>
            <w:shd w:fill="F2F2F2" w:val="clear"/>
          </w:tcPr>
          <w:p>
            <w:r>
              <w:t xml:space="preserve">could have</w:t>
            </w:r>
          </w:p>
        </w:tc>
      </w:tr>
      <w:tr>
        <w:tc>
          <w:tcPr>
            <w:tcW w:type="pct" w:w="50%"/>
          </w:tcPr>
          <w:p>
            <w:r>
              <w:t xml:space="preserve">would've</w:t>
            </w:r>
          </w:p>
        </w:tc>
        <w:tc>
          <w:tcPr>
            <w:tcW w:type="pct" w:w="50%"/>
          </w:tcPr>
          <w:p>
            <w:r>
              <w:t xml:space="preserve">would have</w:t>
            </w:r>
          </w:p>
        </w:tc>
      </w:tr>
      <w:tr>
        <w:tc>
          <w:tcPr>
            <w:tcW w:type="pct" w:w="50%"/>
            <w:shd w:fill="F2F2F2" w:val="clear"/>
          </w:tcPr>
          <w:p>
            <w:r>
              <w:t xml:space="preserve">they've</w:t>
            </w:r>
          </w:p>
        </w:tc>
        <w:tc>
          <w:tcPr>
            <w:tcW w:type="pct" w:w="50%"/>
            <w:shd w:fill="F2F2F2" w:val="clear"/>
          </w:tcPr>
          <w:p>
            <w:r>
              <w:t xml:space="preserve">they have</w:t>
            </w:r>
          </w:p>
        </w:tc>
      </w:tr>
    </w:tbl>
    <w:p>
      <w:pPr>
        <w:pStyle w:val="Heading1"/>
        <w:spacing w:after="160" w:before="320"/>
      </w:pPr>
      <w:r>
        <w:t xml:space="preserve">4. Tone and addressing the reader</w:t>
      </w:r>
    </w:p>
    <w:p>
      <w:pPr>
        <w:pStyle w:val="ListParagraph"/>
        <w:numPr>
          <w:ilvl w:val="0"/>
          <w:numId w:val="1"/>
        </w:numPr>
        <w:spacing w:after="80"/>
      </w:pPr>
      <w:r>
        <w:t xml:space="preserve">Address the reader directly as "you" wherever the text is instructional or service-facing.</w:t>
      </w:r>
    </w:p>
    <w:p>
      <w:pPr>
        <w:pStyle w:val="ListParagraph"/>
        <w:numPr>
          <w:ilvl w:val="0"/>
          <w:numId w:val="1"/>
        </w:numPr>
        <w:spacing w:after="80"/>
      </w:pPr>
      <w:r>
        <w:t xml:space="preserve">Use "they"/"their" for third-person references, not "he"/"she".</w:t>
      </w:r>
    </w:p>
    <w:p>
      <w:pPr>
        <w:pStyle w:val="ListParagraph"/>
        <w:numPr>
          <w:ilvl w:val="0"/>
          <w:numId w:val="1"/>
        </w:numPr>
        <w:spacing w:after="80"/>
      </w:pPr>
      <w:r>
        <w:t xml:space="preserve">Aim for a voice that is clear, concise, and even-toned. Avoid subjective or emotive adjectives that read as spin.</w:t>
      </w:r>
    </w:p>
    <w:p>
      <w:pPr>
        <w:pStyle w:val="ListParagraph"/>
        <w:numPr>
          <w:ilvl w:val="0"/>
          <w:numId w:val="1"/>
        </w:numPr>
        <w:spacing w:after="80"/>
      </w:pPr>
      <w:r>
        <w:t xml:space="preserve">Drop "please" and "please note" — state the instruction plainly instead.</w:t>
      </w:r>
    </w:p>
    <w:p>
      <w:pPr>
        <w:pStyle w:val="ListParagraph"/>
        <w:numPr>
          <w:ilvl w:val="0"/>
          <w:numId w:val="1"/>
        </w:numPr>
        <w:spacing w:after="80"/>
      </w:pPr>
      <w:r>
        <w:t xml:space="preserve">Never write long stretches of text in block capitals.</w:t>
      </w:r>
    </w:p>
    <w:p>
      <w:pPr>
        <w:pStyle w:val="ListParagraph"/>
        <w:numPr>
          <w:ilvl w:val="0"/>
          <w:numId w:val="1"/>
        </w:numPr>
        <w:spacing w:after="80"/>
      </w:pPr>
      <w:r>
        <w:t xml:space="preserve">Never carry over offensive or discriminatory language from a source document. Flag it to whoever commissioned the edit, rather than quietly reproducing or silently deleting it.</w:t>
      </w:r>
    </w:p>
    <w:p>
      <w:pPr>
        <w:pStyle w:val="ListParagraph"/>
        <w:numPr>
          <w:ilvl w:val="0"/>
          <w:numId w:val="1"/>
        </w:numPr>
        <w:spacing w:after="80"/>
      </w:pPr>
      <w:r>
        <w:t xml:space="preserve">If a document refers to "we", make sure the organisation has been named in full first, unless the context already makes it obvious.</w:t>
      </w:r>
    </w:p>
    <w:p>
      <w:pPr>
        <w:pStyle w:val="Heading1"/>
        <w:spacing w:after="160" w:before="320"/>
      </w:pPr>
      <w:r>
        <w:t xml:space="preserve">5. Structure, headings, and titles</w:t>
      </w:r>
    </w:p>
    <w:p>
      <w:pPr>
        <w:pStyle w:val="ListParagraph"/>
        <w:numPr>
          <w:ilvl w:val="0"/>
          <w:numId w:val="1"/>
        </w:numPr>
        <w:spacing w:after="80"/>
      </w:pPr>
      <w:r>
        <w:t xml:space="preserve">Frontload: put the most important information first, then add detail.</w:t>
      </w:r>
    </w:p>
    <w:p>
      <w:pPr>
        <w:pStyle w:val="ListParagraph"/>
        <w:numPr>
          <w:ilvl w:val="0"/>
          <w:numId w:val="1"/>
        </w:numPr>
        <w:spacing w:after="80"/>
      </w:pPr>
      <w:r>
        <w:t xml:space="preserve">Avoid footnotes. Put anything important in the body text, and cut anything not important enough for the body.</w:t>
      </w:r>
    </w:p>
    <w:p>
      <w:pPr>
        <w:pStyle w:val="ListParagraph"/>
        <w:numPr>
          <w:ilvl w:val="0"/>
          <w:numId w:val="1"/>
        </w:numPr>
        <w:spacing w:after="80"/>
      </w:pPr>
      <w:r>
        <w:t xml:space="preserve">Don't repeat a summary or introduction in the paragraph straight after it.</w:t>
      </w:r>
    </w:p>
    <w:p>
      <w:pPr>
        <w:pStyle w:val="ListParagraph"/>
        <w:numPr>
          <w:ilvl w:val="0"/>
          <w:numId w:val="1"/>
        </w:numPr>
        <w:spacing w:after="80"/>
      </w:pPr>
      <w:r>
        <w:t xml:space="preserve">Headings and titles should be descriptive ("Apply for a licence", not "Introduction"), frontloaded, and never phrased as a question.</w:t>
      </w:r>
    </w:p>
    <w:p>
      <w:pPr>
        <w:pStyle w:val="ListParagraph"/>
        <w:numPr>
          <w:ilvl w:val="0"/>
          <w:numId w:val="1"/>
        </w:numPr>
        <w:spacing w:after="80"/>
      </w:pPr>
      <w:r>
        <w:t xml:space="preserve">A heading should make sense on its own, without needing the sentence beneath it to complete the meaning.</w:t>
      </w:r>
    </w:p>
    <w:p>
      <w:pPr>
        <w:pStyle w:val="ListParagraph"/>
        <w:numPr>
          <w:ilvl w:val="0"/>
          <w:numId w:val="1"/>
        </w:numPr>
        <w:spacing w:after="80"/>
      </w:pPr>
      <w:r>
        <w:t xml:space="preserve">Keep titles to 65 characters or fewer where possible, and don't restate the content type ("guidance", "report") in the title itself.</w:t>
      </w:r>
    </w:p>
    <w:p>
      <w:pPr>
        <w:pStyle w:val="Heading1"/>
        <w:spacing w:after="160" w:before="320"/>
      </w:pPr>
      <w:r>
        <w:t xml:space="preserve">6. Links</w:t>
      </w:r>
    </w:p>
    <w:p>
      <w:pPr>
        <w:pStyle w:val="ListParagraph"/>
        <w:numPr>
          <w:ilvl w:val="0"/>
          <w:numId w:val="1"/>
        </w:numPr>
        <w:spacing w:after="80"/>
      </w:pPr>
      <w:r>
        <w:t xml:space="preserve">Write link text that describes the destination — never "click here" or bare "more".</w:t>
      </w:r>
    </w:p>
    <w:p>
      <w:pPr>
        <w:pStyle w:val="ListParagraph"/>
        <w:numPr>
          <w:ilvl w:val="0"/>
          <w:numId w:val="1"/>
        </w:numPr>
        <w:spacing w:after="80"/>
      </w:pPr>
      <w:r>
        <w:t xml:space="preserve">Say if a link leaves the site or points straight to a document, and name the file type and size (e.g. "Application form (PDF, 19.5KB)").</w:t>
      </w:r>
    </w:p>
    <w:p>
      <w:pPr>
        <w:pStyle w:val="ListParagraph"/>
        <w:numPr>
          <w:ilvl w:val="0"/>
          <w:numId w:val="1"/>
        </w:numPr>
        <w:spacing w:after="80"/>
      </w:pPr>
      <w:r>
        <w:t xml:space="preserve">Place links in context, at the point in the text where they're useful, rather than in an unsorted list at the end.</w:t>
      </w:r>
    </w:p>
    <w:p>
      <w:pPr>
        <w:pStyle w:val="Heading1"/>
        <w:spacing w:after="160" w:before="320"/>
      </w:pPr>
      <w:r>
        <w:t xml:space="preserve">7. Lists and steps</w:t>
      </w:r>
    </w:p>
    <w:p>
      <w:pPr>
        <w:pStyle w:val="ListParagraph"/>
        <w:numPr>
          <w:ilvl w:val="0"/>
          <w:numId w:val="1"/>
        </w:numPr>
        <w:spacing w:after="80"/>
      </w:pPr>
      <w:r>
        <w:t xml:space="preserve">Every bulleted list needs a lead-in line, and more than one bullet.</w:t>
      </w:r>
    </w:p>
    <w:p>
      <w:pPr>
        <w:pStyle w:val="ListParagraph"/>
        <w:numPr>
          <w:ilvl w:val="0"/>
          <w:numId w:val="1"/>
        </w:numPr>
        <w:spacing w:after="80"/>
      </w:pPr>
      <w:r>
        <w:t xml:space="preserve">Start each bullet with a lower-case letter, and don't add a full stop after the final bullet.</w:t>
      </w:r>
    </w:p>
    <w:p>
      <w:pPr>
        <w:pStyle w:val="ListParagraph"/>
        <w:numPr>
          <w:ilvl w:val="0"/>
          <w:numId w:val="1"/>
        </w:numPr>
        <w:spacing w:after="80"/>
      </w:pPr>
      <w:r>
        <w:t xml:space="preserve">Don't add "or"/"and" after the last bullet, and don't use semicolons at the end of bullets.</w:t>
      </w:r>
    </w:p>
    <w:p>
      <w:pPr>
        <w:pStyle w:val="ListParagraph"/>
        <w:numPr>
          <w:ilvl w:val="0"/>
          <w:numId w:val="1"/>
        </w:numPr>
        <w:spacing w:after="80"/>
      </w:pPr>
      <w:r>
        <w:t xml:space="preserve">Numbered steps are different from bullets: each step is a full sentence, ending with a full stop, and does not need a lead-in line.</w:t>
      </w:r>
    </w:p>
    <w:p>
      <w:pPr>
        <w:pStyle w:val="Heading1"/>
        <w:spacing w:after="160" w:before="320"/>
      </w:pPr>
      <w:r>
        <w:t xml:space="preserve">8. Numbers, dates, times, money, and ages</w:t>
      </w:r>
    </w:p>
    <w:p>
      <w:pPr>
        <w:pStyle w:val="ListParagraph"/>
        <w:numPr>
          <w:ilvl w:val="0"/>
          <w:numId w:val="1"/>
        </w:numPr>
        <w:spacing w:after="80"/>
      </w:pPr>
      <w:r>
        <w:t xml:space="preserve">Spell out "one"; use numerals from 2 upward (except inside a numbered step or list point, where a numeral usually reads better).</w:t>
      </w:r>
    </w:p>
    <w:p>
      <w:pPr>
        <w:pStyle w:val="ListParagraph"/>
        <w:numPr>
          <w:ilvl w:val="0"/>
          <w:numId w:val="1"/>
        </w:numPr>
        <w:spacing w:after="80"/>
      </w:pPr>
      <w:r>
        <w:t xml:space="preserve">Add a comma to numerals over 999 (9,000).</w:t>
      </w:r>
    </w:p>
    <w:p>
      <w:pPr>
        <w:pStyle w:val="ListParagraph"/>
        <w:numPr>
          <w:ilvl w:val="0"/>
          <w:numId w:val="1"/>
        </w:numPr>
        <w:spacing w:after="80"/>
      </w:pPr>
      <w:r>
        <w:t xml:space="preserve">Money: use the currency symbol against the figure (£75); avoid decimals unless pence or cents are involved (£75.50, not £75.00).</w:t>
      </w:r>
    </w:p>
    <w:p>
      <w:pPr>
        <w:pStyle w:val="ListParagraph"/>
        <w:numPr>
          <w:ilvl w:val="0"/>
          <w:numId w:val="1"/>
        </w:numPr>
        <w:spacing w:after="80"/>
      </w:pPr>
      <w:r>
        <w:t xml:space="preserve">Dates: capitalise the month, no comma between month and year ("4 June 2017"), and use "to" for ranges ("10 to 21 December").</w:t>
      </w:r>
    </w:p>
    <w:p>
      <w:pPr>
        <w:pStyle w:val="ListParagraph"/>
        <w:numPr>
          <w:ilvl w:val="0"/>
          <w:numId w:val="1"/>
        </w:numPr>
        <w:spacing w:after="80"/>
      </w:pPr>
      <w:r>
        <w:t xml:space="preserve">Times: use "to" for ranges ("10am to 11am"), and write "midnight"/"midday" rather than "00:00"/"12pm".</w:t>
      </w:r>
    </w:p>
    <w:p>
      <w:pPr>
        <w:pStyle w:val="ListParagraph"/>
        <w:numPr>
          <w:ilvl w:val="0"/>
          <w:numId w:val="1"/>
        </w:numPr>
        <w:spacing w:after="80"/>
      </w:pPr>
      <w:r>
        <w:t xml:space="preserve">Ages: spell out who's included ("aged 50 and over") rather than using shorthand ("the over 50s").</w:t>
      </w:r>
    </w:p>
    <w:p>
      <w:pPr>
        <w:pStyle w:val="Heading1"/>
        <w:spacing w:after="160" w:before="320"/>
      </w:pPr>
      <w:r>
        <w:t xml:space="preserve">9. Punctuation and capital letters</w:t>
      </w:r>
    </w:p>
    <w:p>
      <w:pPr>
        <w:pStyle w:val="ListParagraph"/>
        <w:numPr>
          <w:ilvl w:val="0"/>
          <w:numId w:val="1"/>
        </w:numPr>
        <w:spacing w:after="80"/>
      </w:pPr>
      <w:r>
        <w:t xml:space="preserve">No semicolons, anywhere.</w:t>
      </w:r>
    </w:p>
    <w:p>
      <w:pPr>
        <w:pStyle w:val="ListParagraph"/>
        <w:numPr>
          <w:ilvl w:val="0"/>
          <w:numId w:val="1"/>
        </w:numPr>
        <w:spacing w:after="80"/>
      </w:pPr>
      <w:r>
        <w:t xml:space="preserve">One space after a full stop, not two.</w:t>
      </w:r>
    </w:p>
    <w:p>
      <w:pPr>
        <w:pStyle w:val="ListParagraph"/>
        <w:numPr>
          <w:ilvl w:val="0"/>
          <w:numId w:val="1"/>
        </w:numPr>
        <w:spacing w:after="80"/>
      </w:pPr>
      <w:r>
        <w:t xml:space="preserve">Use the plural form rather than "(s)" for an ambiguous singular/plural ("documents", not "document(s)").</w:t>
      </w:r>
    </w:p>
    <w:p>
      <w:pPr>
        <w:pStyle w:val="ListParagraph"/>
        <w:numPr>
          <w:ilvl w:val="0"/>
          <w:numId w:val="1"/>
        </w:numPr>
        <w:spacing w:after="80"/>
      </w:pPr>
      <w:r>
        <w:t xml:space="preserve">Default to sentence case. Capitalise genuine proper nouns only — not generic job titles, generic document types, or generic body names.</w:t>
      </w:r>
    </w:p>
    <w:p>
      <w:pPr>
        <w:pStyle w:val="Heading1"/>
        <w:spacing w:after="160" w:before="320"/>
      </w:pPr>
      <w:r>
        <w:t xml:space="preserve">A note on scope</w:t>
      </w:r>
    </w:p>
    <w:p>
      <w:pPr>
        <w:spacing w:after="160"/>
      </w:pPr>
      <w:r>
        <w:rPr>
          <w:b w:val="false"/>
          <w:bCs w:val="false"/>
          <w:i w:val="false"/>
          <w:iCs w:val="false"/>
        </w:rPr>
        <w:t xml:space="preserve">This guide is a practical plain-language tool. It is not a certification that a document meets the official ASD-STE100 standard, or the complete GOV.UK style guide in full. If a project specifically requires formal compliance with either standard, check against the official source documents as well as this guide.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D3557"/>
      <w:sz w:val="32"/>
      <w:szCs w:val="32"/>
    </w:rPr>
  </w:style>
  <w:style w:type="paragraph" w:styleId="Heading2">
    <w:name w:val="Heading 2"/>
    <w:basedOn w:val="Normal"/>
    <w:next w:val="Normal"/>
    <w:qFormat/>
    <w:pPr>
      <w:spacing w:after="120" w:before="260"/>
    </w:pPr>
    <w:rPr>
      <w:b/>
      <w:bCs/>
      <w:color w:val="1D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2026-09-26T06:41:44.101Z</dcterms:created>
  <dcterms:modified xsi:type="dcterms:W3CDTF">2026-09-26T06:41:44.110Z</dcterms:modified>
</cp:coreProperties>
</file>

<file path=docProps/custom.xml><?xml version="1.0" encoding="utf-8"?>
<Properties xmlns="http://schemas.openxmlformats.org/officeDocument/2006/custom-properties" xmlns:vt="http://schemas.openxmlformats.org/officeDocument/2006/docPropsVTypes"/>
</file>