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MAIR-UATR:</w:t>
      </w:r>
      <w:r>
        <w:t xml:space="preserve"> </w:t>
      </w:r>
      <w:r>
        <w:t xml:space="preserve">A</w:t>
      </w:r>
      <w:r>
        <w:t xml:space="preserve"> </w:t>
      </w:r>
      <w:r>
        <w:t xml:space="preserve">Meta-Adaptive,</w:t>
      </w:r>
      <w:r>
        <w:t xml:space="preserve"> </w:t>
      </w:r>
      <w:r>
        <w:t xml:space="preserve">Interpretable</w:t>
      </w:r>
      <w:r>
        <w:t xml:space="preserve"> </w:t>
      </w:r>
      <w:r>
        <w:t xml:space="preserve">and</w:t>
      </w:r>
      <w:r>
        <w:t xml:space="preserve"> </w:t>
      </w:r>
      <w:r>
        <w:t xml:space="preserve">Robust</w:t>
      </w:r>
      <w:r>
        <w:t xml:space="preserve"> </w:t>
      </w:r>
      <w:r>
        <w:t xml:space="preserve">Acoustic</w:t>
      </w:r>
      <w:r>
        <w:t xml:space="preserve"> </w:t>
      </w:r>
      <w:r>
        <w:t xml:space="preserve">Transformer</w:t>
      </w:r>
      <w:r>
        <w:t xml:space="preserve"> </w:t>
      </w:r>
      <w:r>
        <w:t xml:space="preserve">for</w:t>
      </w:r>
      <w:r>
        <w:t xml:space="preserve"> </w:t>
      </w:r>
      <w:r>
        <w:t xml:space="preserve">Generalizable</w:t>
      </w:r>
      <w:r>
        <w:t xml:space="preserve"> </w:t>
      </w:r>
      <w:r>
        <w:t xml:space="preserve">Underwater</w:t>
      </w:r>
      <w:r>
        <w:t xml:space="preserve"> </w:t>
      </w:r>
      <w:r>
        <w:t xml:space="preserve">Acoustic</w:t>
      </w:r>
      <w:r>
        <w:t xml:space="preserve"> </w:t>
      </w:r>
      <w:r>
        <w:t xml:space="preserve">Target</w:t>
      </w:r>
      <w:r>
        <w:t xml:space="preserve"> </w:t>
      </w:r>
      <w:r>
        <w:t xml:space="preserve">Recognition</w:t>
      </w:r>
    </w:p>
    <w:p>
      <w:pPr>
        <w:pStyle w:val="Author"/>
      </w:pPr>
      <w:r>
        <w:t xml:space="preserve">Author</w:t>
      </w:r>
      <w:r>
        <w:t xml:space="preserve"> </w:t>
      </w:r>
      <w:r>
        <w:t xml:space="preserve">names</w:t>
      </w:r>
      <w:r>
        <w:t xml:space="preserve"> </w:t>
      </w:r>
      <w:r>
        <w:t xml:space="preserve">and</w:t>
      </w:r>
      <w:r>
        <w:t xml:space="preserve"> </w:t>
      </w:r>
      <w:r>
        <w:t xml:space="preserve">affiliations</w:t>
      </w:r>
      <w:r>
        <w:t xml:space="preserve"> </w:t>
      </w:r>
      <w:r>
        <w:t xml:space="preserve">to</w:t>
      </w:r>
      <w:r>
        <w:t xml:space="preserve"> </w:t>
      </w:r>
      <w:r>
        <w:t xml:space="preserve">be</w:t>
      </w:r>
      <w:r>
        <w:t xml:space="preserve"> </w:t>
      </w:r>
      <w:r>
        <w:t xml:space="preserve">inserted</w:t>
      </w:r>
    </w:p>
    <w:p>
      <w:pPr>
        <w:pStyle w:val="Date"/>
      </w:pPr>
      <w:r>
        <w:t xml:space="preserve">Manuscript</w:t>
      </w:r>
      <w:r>
        <w:t xml:space="preserve"> </w:t>
      </w:r>
      <w:r>
        <w:t xml:space="preserve">draft</w:t>
      </w:r>
      <w:r>
        <w:t xml:space="preserve"> </w:t>
      </w:r>
      <w:r>
        <w:t xml:space="preserve">prepared</w:t>
      </w:r>
      <w:r>
        <w:t xml:space="preserve"> </w:t>
      </w:r>
      <w:r>
        <w:t xml:space="preserve">for</w:t>
      </w:r>
      <w:r>
        <w:t xml:space="preserve"> </w:t>
      </w:r>
      <w:r>
        <w:t xml:space="preserve">Applied</w:t>
      </w:r>
      <w:r>
        <w:t xml:space="preserve"> </w:t>
      </w:r>
      <w:r>
        <w:t xml:space="preserve">Acoustics</w:t>
      </w:r>
      <w:r>
        <w:t xml:space="preserve"> </w:t>
      </w:r>
      <w:r>
        <w:t xml:space="preserve">(Elsevier)</w:t>
      </w:r>
    </w:p>
    <w:bookmarkStart w:id="20" w:name="highlights"/>
    <w:p>
      <w:pPr>
        <w:pStyle w:val="Heading1"/>
      </w:pPr>
      <w:r>
        <w:t xml:space="preserve">Highlights</w:t>
      </w:r>
    </w:p>
    <w:p>
      <w:pPr>
        <w:pStyle w:val="Compact"/>
        <w:numPr>
          <w:ilvl w:val="0"/>
          <w:numId w:val="1001"/>
        </w:numPr>
      </w:pPr>
      <w:r>
        <w:t xml:space="preserve">A meta-adaptive acoustic Transformer is proposed for complex underwater acoustic target recognition (UATR) conditions.</w:t>
      </w:r>
    </w:p>
    <w:p>
      <w:pPr>
        <w:pStyle w:val="Compact"/>
        <w:numPr>
          <w:ilvl w:val="0"/>
          <w:numId w:val="1001"/>
        </w:numPr>
      </w:pPr>
      <w:r>
        <w:t xml:space="preserve">InfoNCE contrastive learning, masked token modeling and episodic meta-learning improve scarce-label recognition.</w:t>
      </w:r>
    </w:p>
    <w:p>
      <w:pPr>
        <w:pStyle w:val="Compact"/>
        <w:numPr>
          <w:ilvl w:val="0"/>
          <w:numId w:val="1001"/>
        </w:numPr>
      </w:pPr>
      <w:r>
        <w:t xml:space="preserve">LoRA, QLoRA and adapter tuning are used for parameter-efficient adaptation across ocean environments.</w:t>
      </w:r>
    </w:p>
    <w:p>
      <w:pPr>
        <w:pStyle w:val="Compact"/>
        <w:numPr>
          <w:ilvl w:val="0"/>
          <w:numId w:val="1001"/>
        </w:numPr>
      </w:pPr>
      <w:r>
        <w:t xml:space="preserve">Grad-CAM is selected as the primary feature-map visualization tool and is combined with explanation consistency.</w:t>
      </w:r>
    </w:p>
    <w:p>
      <w:pPr>
        <w:pStyle w:val="Compact"/>
        <w:numPr>
          <w:ilvl w:val="0"/>
          <w:numId w:val="1001"/>
        </w:numPr>
      </w:pPr>
      <w:r>
        <w:t xml:space="preserve">Receiver-side adversarial training, detection, calibration and smoothing improve robust deployment reliability.</w:t>
      </w:r>
    </w:p>
    <w:bookmarkEnd w:id="20"/>
    <w:bookmarkStart w:id="21" w:name="abstract"/>
    <w:p>
      <w:pPr>
        <w:pStyle w:val="Heading1"/>
      </w:pPr>
      <w:r>
        <w:t xml:space="preserve">Abstract</w:t>
      </w:r>
    </w:p>
    <w:p>
      <w:pPr>
        <w:pStyle w:val="FirstParagraph"/>
      </w:pPr>
      <w:r>
        <w:t xml:space="preserve">Underwater acoustic target recognition (UATR) is an essential technology for passive sonar, ocean monitoring, underwater security, marine traffic analysis and autonomous underwater systems. However, practical UATR remains difficult because underwater acoustic signals are affected by low signal-to-noise ratio (SNR), multipath propagation, Doppler shift, vessel-speed variation, scarce labels, environmental mismatch, weak interpretability and adversarial vulnerability. This paper proposes MAIR-UATR, a meta-adaptive, interpretable and robust acoustic Transformer framework for generalizable UATR. The framework converts raw hydrophone waveforms into complementary acoustic views, including short-time Fourier transform (STFT), Mel, constant-Q transform (CQT), Gammatone frequency cepstral coefficients (GFCC), DEMON and LOFAR-type representations. These views are encoded by a learnable Gabor front-end and an acoustic Transformer backbone. To reduce label dependence, the model is first trained by InfoNCE-based contrastive learning and masked acoustic token modeling on unlabeled ocean audio. To address few-shot and low-SNR conditions, it then uses SNR-aware episodic meta-learning. To improve generalization under sea-area, sensor and vessel mismatch, MAIR-UATR employs parameter-efficient fine-tuning (PEFT), including LoRA, QLoRA and adapter tuning, with domain tokens and source-target distribution alignment. To improve interpretability, Grad-CAM is used as the primary spectrogram explanation method, while attention rollout and t-SNE are retained as complementary diagnostic tools. To increase adversarial robustness, MAIR-UATR combines receiver-side adversarial training, adversarial example detection, uncertainty calibration and randomized smoothing. A complete experimental protocol is specified for ShipsEar, DeepShip, QiandaoEar22-type data and cross-domain evaluation. Numerical result tables are provided as draft/pilot reporting tables and should be replaced by measured values after executing the final code on fixed data splits. The proposed framework offers a unified direction for reliable, interpretable and generalizable intelligent UATR systems under realistic ocean conditions.</w:t>
      </w:r>
    </w:p>
    <w:bookmarkEnd w:id="21"/>
    <w:bookmarkStart w:id="22" w:name="keywords"/>
    <w:p>
      <w:pPr>
        <w:pStyle w:val="Heading1"/>
      </w:pPr>
      <w:r>
        <w:t xml:space="preserve">Keywords</w:t>
      </w:r>
    </w:p>
    <w:p>
      <w:pPr>
        <w:pStyle w:val="FirstParagraph"/>
      </w:pPr>
      <w:r>
        <w:t xml:space="preserve">Underwater acoustic target recognition; passive sonar; acoustic Transformer; InfoNCE; contrastive learning; meta-learning; LoRA; QLoRA; Grad-CAM; adversarial robustness</w:t>
      </w:r>
    </w:p>
    <w:bookmarkEnd w:id="22"/>
    <w:bookmarkStart w:id="23" w:name="nomenclature"/>
    <w:p>
      <w:pPr>
        <w:pStyle w:val="Heading1"/>
      </w:pPr>
      <w:r>
        <w:t xml:space="preserve">Nomenclature</w:t>
      </w:r>
    </w:p>
    <w:p>
      <w:pPr>
        <w:pStyle w:val="FirstParagraph"/>
      </w:pPr>
      <w:r>
        <w:t xml:space="preserve">Table 1. Main notation used in the proposed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t>x</m:t>
              </m:r>
              <m:d>
                <m:dPr>
                  <m:begChr m:val="("/>
                  <m:endChr m:val=")"/>
                  <m:sepChr m:val=""/>
                  <m:grow/>
                </m:dPr>
                <m:e>
                  <m:r>
                    <m:t>t</m:t>
                  </m:r>
                </m:e>
              </m:d>
            </m:oMath>
          </w:p>
        </w:tc>
        <w:tc>
          <w:tcPr/>
          <w:p>
            <w:pPr>
              <w:pStyle w:val="Compact"/>
              <w:jc w:val="left"/>
            </w:pPr>
            <w:r>
              <w:t xml:space="preserve">Raw hydrophone waveform segment.</w:t>
            </w:r>
          </w:p>
        </w:tc>
      </w:tr>
      <w:tr>
        <w:tc>
          <w:tcPr/>
          <w:p>
            <w:pPr>
              <w:pStyle w:val="Compact"/>
              <w:jc w:val="left"/>
            </w:pPr>
            <m:oMath>
              <m:r>
                <m:t>y</m:t>
              </m:r>
            </m:oMath>
          </w:p>
        </w:tc>
        <w:tc>
          <w:tcPr/>
          <w:p>
            <w:pPr>
              <w:pStyle w:val="Compact"/>
              <w:jc w:val="left"/>
            </w:pPr>
            <w:r>
              <w:t xml:space="preserve">Target class label.</w:t>
            </w:r>
          </w:p>
        </w:tc>
      </w:tr>
      <w:tr>
        <w:tc>
          <w:tcPr/>
          <w:p>
            <w:pPr>
              <w:pStyle w:val="Compact"/>
              <w:jc w:val="left"/>
            </w:pPr>
            <m:oMath>
              <m:sSub>
                <m:e>
                  <m:r>
                    <m:t>S</m:t>
                  </m:r>
                </m:e>
                <m:sub>
                  <m:r>
                    <m:t>v</m:t>
                  </m:r>
                </m:sub>
              </m:sSub>
            </m:oMath>
          </w:p>
        </w:tc>
        <w:tc>
          <w:tcPr/>
          <w:p>
            <w:pPr>
              <w:pStyle w:val="Compact"/>
              <w:jc w:val="left"/>
            </w:pPr>
            <w:r>
              <w:t xml:space="preserve">Acoustic representation under view</w:t>
            </w:r>
            <w:r>
              <w:t xml:space="preserve"> </w:t>
            </w:r>
            <m:oMath>
              <m:r>
                <m:t>v</m:t>
              </m:r>
            </m:oMath>
            <w:r>
              <w:t xml:space="preserve">, e.g., STFT, Mel, CQT, DEMON or GFCC.</w:t>
            </w:r>
          </w:p>
        </w:tc>
      </w:tr>
      <w:tr>
        <w:tc>
          <w:tcPr/>
          <w:p>
            <w:pPr>
              <w:pStyle w:val="Compact"/>
              <w:jc w:val="left"/>
            </w:pPr>
            <m:oMath>
              <m:sSub>
                <m:e>
                  <m:r>
                    <m:t>f</m:t>
                  </m:r>
                </m:e>
                <m:sub>
                  <m:r>
                    <m:t>θ</m:t>
                  </m:r>
                </m:sub>
              </m:sSub>
            </m:oMath>
          </w:p>
        </w:tc>
        <w:tc>
          <w:tcPr/>
          <w:p>
            <w:pPr>
              <w:pStyle w:val="Compact"/>
              <w:jc w:val="left"/>
            </w:pPr>
            <w:r>
              <w:t xml:space="preserve">Acoustic encoder with parameters</w:t>
            </w:r>
            <w:r>
              <w:t xml:space="preserve"> </w:t>
            </w:r>
            <m:oMath>
              <m:r>
                <m:t>θ</m:t>
              </m:r>
            </m:oMath>
            <w:r>
              <w:t xml:space="preserve">.</w:t>
            </w:r>
          </w:p>
        </w:tc>
      </w:tr>
      <w:tr>
        <w:tc>
          <w:tcPr/>
          <w:p>
            <w:pPr>
              <w:pStyle w:val="Compact"/>
              <w:jc w:val="left"/>
            </w:pPr>
            <m:oMath>
              <m:r>
                <m:t>z</m:t>
              </m:r>
            </m:oMath>
          </w:p>
        </w:tc>
        <w:tc>
          <w:tcPr/>
          <w:p>
            <w:pPr>
              <w:pStyle w:val="Compact"/>
              <w:jc w:val="left"/>
            </w:pPr>
            <w:r>
              <w:t xml:space="preserve">Latent embedding produced by the encoder.</w:t>
            </w:r>
          </w:p>
        </w:tc>
      </w:tr>
      <w:tr>
        <w:tc>
          <w:tcPr/>
          <w:p>
            <w:pPr>
              <w:pStyle w:val="Compact"/>
              <w:jc w:val="left"/>
            </w:pPr>
            <m:oMath>
              <m:sSub>
                <m:e>
                  <m:r>
                    <m:t>D</m:t>
                  </m:r>
                </m:e>
                <m:sub>
                  <m:r>
                    <m:t>s</m:t>
                  </m:r>
                </m:sub>
              </m:sSub>
              <m:r>
                <m:rPr>
                  <m:sty m:val="p"/>
                </m:rPr>
                <m:t>,</m:t>
              </m:r>
              <m:sSub>
                <m:e>
                  <m:r>
                    <m:t>D</m:t>
                  </m:r>
                </m:e>
                <m:sub>
                  <m:r>
                    <m:t>t</m:t>
                  </m:r>
                </m:sub>
              </m:sSub>
            </m:oMath>
          </w:p>
        </w:tc>
        <w:tc>
          <w:tcPr/>
          <w:p>
            <w:pPr>
              <w:pStyle w:val="Compact"/>
              <w:jc w:val="left"/>
            </w:pPr>
            <w:r>
              <w:t xml:space="preserve">Source and target acoustic domains.</w:t>
            </w:r>
          </w:p>
        </w:tc>
      </w:tr>
      <w:tr>
        <w:tc>
          <w:tcPr/>
          <w:p>
            <w:pPr>
              <w:pStyle w:val="Compact"/>
              <w:jc w:val="left"/>
            </w:pPr>
            <m:oMath>
              <m:r>
                <m:t>δ</m:t>
              </m:r>
            </m:oMath>
          </w:p>
        </w:tc>
        <w:tc>
          <w:tcPr/>
          <w:p>
            <w:pPr>
              <w:pStyle w:val="Compact"/>
              <w:jc w:val="left"/>
            </w:pPr>
            <w:r>
              <w:t xml:space="preserve">Adversarial waveform or spectrogram perturbation.</w:t>
            </w:r>
          </w:p>
        </w:tc>
      </w:tr>
      <w:tr>
        <w:tc>
          <w:tcPr/>
          <w:p>
            <w:pPr>
              <w:pStyle w:val="Compact"/>
              <w:jc w:val="left"/>
            </w:pPr>
            <m:oMath>
              <m:r>
                <m:t>ϵ</m:t>
              </m:r>
            </m:oMath>
          </w:p>
        </w:tc>
        <w:tc>
          <w:tcPr/>
          <w:p>
            <w:pPr>
              <w:pStyle w:val="Compact"/>
              <w:jc w:val="left"/>
            </w:pPr>
            <w:r>
              <w:t xml:space="preserve">Perturbation budget used in adversarial training.</w:t>
            </w:r>
          </w:p>
        </w:tc>
      </w:tr>
      <w:tr>
        <w:tc>
          <w:tcPr/>
          <w:p>
            <w:pPr>
              <w:pStyle w:val="Compact"/>
              <w:jc w:val="left"/>
            </w:pPr>
            <m:oMath>
              <m:r>
                <m:t>τ</m:t>
              </m:r>
            </m:oMath>
          </w:p>
        </w:tc>
        <w:tc>
          <w:tcPr/>
          <w:p>
            <w:pPr>
              <w:pStyle w:val="Compact"/>
              <w:jc w:val="left"/>
            </w:pPr>
            <w:r>
              <w:t xml:space="preserve">Temperature parameter in InfoNCE contrastive learning.</w:t>
            </w:r>
          </w:p>
        </w:tc>
      </w:tr>
      <w:tr>
        <w:tc>
          <w:tcPr/>
          <w:p>
            <w:pPr>
              <w:pStyle w:val="Compact"/>
              <w:jc w:val="left"/>
            </w:pPr>
            <m:oMath>
              <m:sSub>
                <m:e>
                  <m:r>
                    <m:t>λ</m:t>
                  </m:r>
                </m:e>
                <m:sub>
                  <m:r>
                    <m:t>i</m:t>
                  </m:r>
                </m:sub>
              </m:sSub>
            </m:oMath>
          </w:p>
        </w:tc>
        <w:tc>
          <w:tcPr/>
          <w:p>
            <w:pPr>
              <w:pStyle w:val="Compact"/>
              <w:jc w:val="left"/>
            </w:pPr>
            <w:r>
              <w:t xml:space="preserve">Loss-balancing coefficient for the</w:t>
            </w:r>
            <w:r>
              <w:t xml:space="preserve"> </w:t>
            </w:r>
            <m:oMath>
              <m:r>
                <m:t>i</m:t>
              </m:r>
            </m:oMath>
            <w:r>
              <w:t xml:space="preserve">th auxiliary objective.</w:t>
            </w:r>
          </w:p>
        </w:tc>
      </w:tr>
      <w:tr>
        <w:tc>
          <w:tcPr/>
          <w:p>
            <w:pPr>
              <w:pStyle w:val="Compact"/>
              <w:jc w:val="left"/>
            </w:pPr>
            <m:oMath>
              <m:sSub>
                <m:e>
                  <m:r>
                    <m:rPr>
                      <m:sty m:val="p"/>
                      <m:scr m:val="script"/>
                    </m:rPr>
                    <m:t>L</m:t>
                  </m:r>
                </m:e>
                <m:sub>
                  <m:r>
                    <m:rPr>
                      <m:sty m:val="p"/>
                    </m:rPr>
                    <m:t>t</m:t>
                  </m:r>
                  <m:r>
                    <m:rPr>
                      <m:sty m:val="p"/>
                    </m:rPr>
                    <m:t>o</m:t>
                  </m:r>
                  <m:r>
                    <m:rPr>
                      <m:sty m:val="p"/>
                    </m:rPr>
                    <m:t>t</m:t>
                  </m:r>
                  <m:r>
                    <m:rPr>
                      <m:sty m:val="p"/>
                    </m:rPr>
                    <m:t>a</m:t>
                  </m:r>
                  <m:r>
                    <m:rPr>
                      <m:sty m:val="p"/>
                    </m:rPr>
                    <m:t>l</m:t>
                  </m:r>
                </m:sub>
              </m:sSub>
            </m:oMath>
          </w:p>
        </w:tc>
        <w:tc>
          <w:tcPr/>
          <w:p>
            <w:pPr>
              <w:pStyle w:val="Compact"/>
              <w:jc w:val="left"/>
            </w:pPr>
            <w:r>
              <w:t xml:space="preserve">Overall training objective of MAIR-UATR.</w:t>
            </w:r>
          </w:p>
        </w:tc>
      </w:tr>
    </w:tbl>
    <w:bookmarkEnd w:id="23"/>
    <w:bookmarkStart w:id="24" w:name="introduction"/>
    <w:p>
      <w:pPr>
        <w:pStyle w:val="Heading1"/>
      </w:pPr>
      <w:r>
        <w:t xml:space="preserve">1. Introduction</w:t>
      </w:r>
    </w:p>
    <w:p>
      <w:pPr>
        <w:pStyle w:val="FirstParagraph"/>
      </w:pPr>
      <w:r>
        <w:t xml:space="preserve">Underwater acoustic target recognition (UATR) aims to identify ships, underwater vehicles, marine animals and other acoustic sources from signals recorded by hydrophones or hydrophone arrays. Compared with optical or radar-based recognition, UATR is strongly constrained by the underwater propagation environment. Acoustic waves can travel long distances in water, but they are also distorted by absorption, reflection, refraction, scattering, seabed interaction, surface motion, biologic noise, shipping noise and sensor configuration. As a result, acoustic signatures collected from the same vessel may differ significantly across sea areas, speeds, depths and hydrophone positions. These properties make UATR a challenging and practically important problem in underwater acoustic signal processing.</w:t>
      </w:r>
    </w:p>
    <w:p>
      <w:pPr>
        <w:pStyle w:val="BodyText"/>
      </w:pPr>
      <w:r>
        <w:t xml:space="preserve">Traditional UATR systems typically follow a pipeline composed of signal acquisition, preprocessing, feature extraction and classification. In the acquisition stage, hydrophones or hydrophone arrays record radiated noise, active echoes or other acoustic signals. In the preprocessing stage, resampling, filtering, denoising, segmentation, normalization, Doppler compensation and clutter suppression are used to improve signal quality. In the feature-extraction stage, time-domain, frequency-domain, cepstral, modulation and auditory-inspired features are produced. In the classification stage, machine-learning or deep-learning algorithms assign the signal to a target category. Although this pipeline is well understood, each stage is sensitive to ocean conditions and data availability.</w:t>
      </w:r>
    </w:p>
    <w:p>
      <w:pPr>
        <w:pStyle w:val="BodyText"/>
      </w:pPr>
      <w:r>
        <w:t xml:space="preserve">Early machine-learning approaches used features such as zero-crossing rate, waveform energy, peak-to-peak amplitude, low-frequency analysis and recording (LOFAR), Mel-frequency cepstral coefficients (MFCC), Mel-filter bank features, Gammatone frequency cepstral coefficients (GFCC), DEMON spectra and auditory perceptual features. Classifiers such as support vector machines (SVM), K-nearest neighbor (KNN), hidden Markov models (HMM), Gaussian mixture models and logistic regression have been applied to ship-radiated-noise classification. These methods can be effective in controlled scenarios, but they usually require careful manual feature design and may fail when the operating condition or target population changes.</w:t>
      </w:r>
    </w:p>
    <w:p>
      <w:pPr>
        <w:pStyle w:val="BodyText"/>
      </w:pPr>
      <w:r>
        <w:t xml:space="preserve">Deep learning has reduced the dependence on manual feature engineering. Convolutional neural networks (CNNs), residual networks, recurrent neural networks (RNNs), convolutional recurrent networks (CRNNs), attention networks and Transformers can learn discriminative representations from spectrograms or raw waveforms. Li et al. proposed the spectrogram Transformer model (STM), which introduced a Transformer architecture into UATR and reported 97.7% and 89.9% recognition accuracy under two commonly used dataset partitioning strategies, improving over a CNN baseline by 13.7% and 50%, respectively [1]. Hummel et al. demonstrated that self-supervised contrastive learning can convert abundant unlabeled hydrophone recordings into generalized embeddings for downstream underwater acoustic classification tasks [2]. Recent studies have also investigated learnable Gabor filters, graph embeddings, transfer learning, knowledge distillation, data augmentation, residual CNNs, masked token learning and automatic contrastive coding [3-10,33-49].</w:t>
      </w:r>
    </w:p>
    <w:p>
      <w:pPr>
        <w:pStyle w:val="BodyText"/>
      </w:pPr>
      <w:r>
        <w:t xml:space="preserve">Despite this progress, practical intelligent UATR still faces four major challenges. The first challenge is the complex recognition condition problem. Real signals may contain low SNR, nonstationary background noise, multipath distortion, Doppler shift, speed variation and limited labeled samples. A model that performs well on clean segments may become unreliable when the same target is observed in a different sea state or at a different operating speed. The second challenge is interpretability. Deep acoustic models are often treated as black boxes, which makes it difficult to determine whether a prediction is based on physically meaningful target signatures or on spurious background artifacts.</w:t>
      </w:r>
    </w:p>
    <w:p>
      <w:pPr>
        <w:pStyle w:val="BodyText"/>
      </w:pPr>
      <w:r>
        <w:t xml:space="preserve">The third challenge is generalization. Many studies use random segment-level splits in which segments from the same vessel or recording session may appear in both training and testing sets. Such protocols may overestimate performance because they do not fully test unseen vessels, unseen sea areas or unseen sensors. In real deployment, however, a UATR system is expected to recognize targets in environments that differ from the training domain. The fourth challenge is adversarial robustness. Small perturbations, natural spoofing-like interference or deliberately designed adversarial signals can degrade neural acoustic classifiers. Since the receiver usually does not know the perturbation type or source in advance, robustness should be studied from the receiver side.</w:t>
      </w:r>
    </w:p>
    <w:p>
      <w:pPr>
        <w:pStyle w:val="BodyText"/>
      </w:pPr>
      <w:r>
        <w:t xml:space="preserve">A useful UATR framework should therefore satisfy several requirements simultaneously. It should preserve signal-processing knowledge while learning adaptive acoustic representations. It should exploit unlabeled ocean audio because labeled target data are expensive. It should learn quickly from few labeled examples of new targets. It should adapt to new sea areas without retraining all model parameters. It should provide local explanations that can be inspected by sonar experts. It should also detect and resist suspicious perturbations. Existing methods usually address only one or two of these requirements, while a complete deployment-oriented framework needs to integrate all of them.</w:t>
      </w:r>
    </w:p>
    <w:p>
      <w:pPr>
        <w:pStyle w:val="BodyText"/>
      </w:pPr>
      <w:r>
        <w:t xml:space="preserve">This paper proposes MAIR-UATR, a meta-adaptive, interpretable and robust acoustic Transformer for generalizable UATR. MAIR-UATR combines multi-view acoustic representations, a learnable Gabor front-end, self-supervised InfoNCE contrastive learning, masked token modeling, SNR-aware episodic meta-learning, PEFT-based domain adaptation, Grad-CAM-based explanation and receiver-side adversarial robustness. The proposed method is designed to increase recognition performance under complex conditions and to make the model more suitable for realistic ocean deployment.</w:t>
      </w:r>
    </w:p>
    <w:p>
      <w:pPr>
        <w:pStyle w:val="BodyText"/>
      </w:pPr>
      <w:r>
        <w:t xml:space="preserve">The main contributions are as follows.</w:t>
      </w:r>
    </w:p>
    <w:p>
      <w:pPr>
        <w:pStyle w:val="Compact"/>
        <w:numPr>
          <w:ilvl w:val="0"/>
          <w:numId w:val="1002"/>
        </w:numPr>
      </w:pPr>
      <w:r>
        <w:t xml:space="preserve">A multi-view acoustic representation strategy is proposed to combine STFT, Mel, CQT, DEMON/LOFAR and GFCC cues with learnable Gabor filters, thereby improving discriminative feature extraction under low-SNR and complex operating conditions.</w:t>
      </w:r>
    </w:p>
    <w:p>
      <w:pPr>
        <w:pStyle w:val="Compact"/>
        <w:numPr>
          <w:ilvl w:val="0"/>
          <w:numId w:val="1002"/>
        </w:numPr>
      </w:pPr>
      <w:r>
        <w:t xml:space="preserve">An InfoNCE-based contrastive pretraining and masked acoustic token modeling strategy is introduced to exploit unlabeled hydrophone data and improve label efficiency.</w:t>
      </w:r>
    </w:p>
    <w:p>
      <w:pPr>
        <w:pStyle w:val="Compact"/>
        <w:numPr>
          <w:ilvl w:val="0"/>
          <w:numId w:val="1002"/>
        </w:numPr>
      </w:pPr>
      <w:r>
        <w:t xml:space="preserve">A meta-adaptive few-shot training strategy is proposed using N-way K-shot acoustic episodes and SNR-aware support/query construction.</w:t>
      </w:r>
    </w:p>
    <w:p>
      <w:pPr>
        <w:pStyle w:val="Compact"/>
        <w:numPr>
          <w:ilvl w:val="0"/>
          <w:numId w:val="1002"/>
        </w:numPr>
      </w:pPr>
      <w:r>
        <w:t xml:space="preserve">A PEFT-based generalization architecture is developed by combining LoRA, QLoRA, adapter tuning, domain tokens and distribution-alignment losses for environment-mismatch UATR.</w:t>
      </w:r>
    </w:p>
    <w:p>
      <w:pPr>
        <w:pStyle w:val="Compact"/>
        <w:numPr>
          <w:ilvl w:val="0"/>
          <w:numId w:val="1002"/>
        </w:numPr>
      </w:pPr>
      <w:r>
        <w:t xml:space="preserve">A practical interpretability scheme is provided: Grad-CAM is selected as the primary feature-map visualization method, attention rollout is used as a model-internal diagnostic, and t-SNE is used for embedding-level analysis.</w:t>
      </w:r>
    </w:p>
    <w:p>
      <w:pPr>
        <w:pStyle w:val="Compact"/>
        <w:numPr>
          <w:ilvl w:val="0"/>
          <w:numId w:val="1002"/>
        </w:numPr>
      </w:pPr>
      <w:r>
        <w:t xml:space="preserve">A receiver-side adversarial robustness module is proposed, combining adversarial training, adversarial example detection, uncertainty calibration and randomized smoothing.</w:t>
      </w:r>
    </w:p>
    <w:p>
      <w:pPr>
        <w:pStyle w:val="Compact"/>
        <w:numPr>
          <w:ilvl w:val="0"/>
          <w:numId w:val="1002"/>
        </w:numPr>
      </w:pPr>
      <w:r>
        <w:t xml:space="preserve">A complete Applied Acoustics-style experimental protocol is specified for random, vessel-disjoint, sea-area-disjoint, low-SNR, few-shot and adversarial evaluation.</w:t>
      </w:r>
    </w:p>
    <w:bookmarkEnd w:id="24"/>
    <w:bookmarkStart w:id="33" w:name="related-work-and-concept-details"/>
    <w:p>
      <w:pPr>
        <w:pStyle w:val="Heading1"/>
      </w:pPr>
      <w:r>
        <w:t xml:space="preserve">2. Related work and concept details</w:t>
      </w:r>
    </w:p>
    <w:bookmarkStart w:id="25" w:name="Xfbabef5fe2c799f7340ca92abc2ae0f3ebd1218"/>
    <w:p>
      <w:pPr>
        <w:pStyle w:val="Heading2"/>
      </w:pPr>
      <w:r>
        <w:t xml:space="preserve">2.1. Intelligent UATR models and acoustic representations</w:t>
      </w:r>
    </w:p>
    <w:p>
      <w:pPr>
        <w:pStyle w:val="FirstParagraph"/>
      </w:pPr>
      <w:r>
        <w:t xml:space="preserve">Traditional UATR systems rely on manually designed time-domain, spectral, cepstral and modulation features. Time-domain features such as zero-crossing rate, waveform energy and peak-to-peak amplitude are computationally cheap, but they may be sensitive to noise and gain variation. STFT and LOFAR representations describe time-frequency energy and narrowband machinery components. Mel and GFCC features encode auditory-inspired spectral information and are often effective for acoustic classification. DEMON spectra emphasize amplitude modulation produced by rotating machinery and propellers. Autoencoding features and learned front-ends can also be used when labeled data are limited.</w:t>
      </w:r>
    </w:p>
    <w:p>
      <w:pPr>
        <w:pStyle w:val="BodyText"/>
      </w:pPr>
      <w:r>
        <w:t xml:space="preserve">Deep models learn representations directly from these feature spaces. CNNs extract local spectral patterns; RNNs and CRNNs model temporal dependencies; attention networks and Transformers model long-range relationships across time-frequency tokens. The STM model [1] and recent ViT/Transformer UATR studies [36-42] show that attention-based architectures are promising for UATR. However, the success of these models depends on robust data splitting, sufficient training data and adaptation to unseen conditions.</w:t>
      </w:r>
    </w:p>
    <w:bookmarkEnd w:id="25"/>
    <w:bookmarkStart w:id="26" w:name="complex-recognition-conditions"/>
    <w:p>
      <w:pPr>
        <w:pStyle w:val="Heading2"/>
      </w:pPr>
      <w:r>
        <w:t xml:space="preserve">2.2. Complex recognition conditions</w:t>
      </w:r>
    </w:p>
    <w:p>
      <w:pPr>
        <w:pStyle w:val="FirstParagraph"/>
      </w:pPr>
      <w:r>
        <w:t xml:space="preserve">Complex recognition conditions include low SNR, few-shot classes, strong ocean noise, interference from other vessels, sensor mismatch, speed variation, Doppler shift and sea-area mismatch. Low SNR reduces the visibility of discriminative spectral lines and modulation cues. Few-shot scenarios occur when a new target has only a few labeled examples. Doppler and speed variation change the apparent frequency structure of the acoustic signature. These difficulties motivate multi-view features, robust augmentation, self-supervised pretraining and meta-learning.</w:t>
      </w:r>
    </w:p>
    <w:bookmarkEnd w:id="26"/>
    <w:bookmarkStart w:id="27" w:name="X7c9e5e5d284fd0d69441b2cd3c1cb3de4c97e9e"/>
    <w:p>
      <w:pPr>
        <w:pStyle w:val="Heading2"/>
      </w:pPr>
      <w:r>
        <w:t xml:space="preserve">2.3. Contrastive learning and masked token modeling</w:t>
      </w:r>
    </w:p>
    <w:p>
      <w:pPr>
        <w:pStyle w:val="FirstParagraph"/>
      </w:pPr>
      <w:r>
        <w:t xml:space="preserve">Contrastive learning trains an encoder by pulling together embeddings of positive pairs and pushing apart embeddings of negative pairs. In UATR, two augmented views of the same waveform segment can be treated as a positive pair, while segments from different recordings or time intervals can be treated as negatives. InfoNCE, introduced in contrastive predictive coding [50], is a common contrastive objective and is suitable for unlabeled acoustic representation learning. It encourages acoustic embeddings to preserve information that distinguishes the original signal from other signals.</w:t>
      </w:r>
    </w:p>
    <w:p>
      <w:pPr>
        <w:pStyle w:val="BodyText"/>
      </w:pPr>
      <w:r>
        <w:t xml:space="preserve">Masked token modeling is complementary. A spectrogram or multi-view acoustic representation is divided into tokens, and a subset of tokens is masked. The model must reconstruct or predict the masked tokens from the visible context. This forces the Transformer to learn local and global acoustic structure, including harmonic tracks, broadband transients and modulation patterns. In UATR, contrastive learning is useful for instance-level discrimination, while masked token modeling is useful for learning contextual acoustic regularities [34,35].</w:t>
      </w:r>
    </w:p>
    <w:bookmarkEnd w:id="27"/>
    <w:bookmarkStart w:id="28" w:name="X29630bbd5b4dcd312b2a26fc5a54bc06c5a8979"/>
    <w:p>
      <w:pPr>
        <w:pStyle w:val="Heading2"/>
      </w:pPr>
      <w:r>
        <w:t xml:space="preserve">2.4. Meta-adaptive, few-shot and meta-learning methods</w:t>
      </w:r>
    </w:p>
    <w:p>
      <w:pPr>
        <w:pStyle w:val="FirstParagraph"/>
      </w:pPr>
      <w:r>
        <w:t xml:space="preserve">Few-shot learning aims to recognize new classes or new domains from only a few labeled examples. Meta-learning trains the model over many small tasks so that it can adapt quickly to a new task. In UATR, an episode can be constructed as an N-way K-shot task, where the support set contains K examples per class and the query set is used for evaluation. Meta-adaptive learning in this paper means that the model does not only learn a fixed classifier; it also learns an adaptation mechanism that updates prototypes, PEFT modules or domain tokens for a new acoustic environment.</w:t>
      </w:r>
    </w:p>
    <w:p>
      <w:pPr>
        <w:pStyle w:val="BodyText"/>
      </w:pPr>
      <w:r>
        <w:t xml:space="preserve">The proposed MAIR-UATR uses prototype-based episodic learning because acoustic class embeddings can be compared with class prototypes in a stable metric space. This is useful when the number of labeled samples for a new target is small. The method also constructs SNR-aware episodes in which support samples may be cleaner than query samples. This forces the model to learn target characteristics that remain stable under noise and reverberation.</w:t>
      </w:r>
    </w:p>
    <w:bookmarkEnd w:id="28"/>
    <w:bookmarkStart w:id="29" w:name="Xeb6e7d1abdd298101eb59b387f5cbc30e25dc93"/>
    <w:p>
      <w:pPr>
        <w:pStyle w:val="Heading2"/>
      </w:pPr>
      <w:r>
        <w:t xml:space="preserve">2.5. Interpretability: Grad-CAM, attention and t-SNE</w:t>
      </w:r>
    </w:p>
    <w:p>
      <w:pPr>
        <w:pStyle w:val="FirstParagraph"/>
      </w:pPr>
      <w:r>
        <w:t xml:space="preserve">Interpretability is required because UATR models may use spurious correlations. Grad-CAM produces class-discriminative heatmaps on time-frequency maps and directly identifies which spectral regions contribute to the predicted class. It is therefore selected as the primary feature-map visualization method. Attention rollout can show how Transformer tokens interact, but attention weights are not always causal explanations. t-SNE is a nonlinear dimensionality-reduction technique used to visualize embedding clusters. It is useful for checking whether classes or domains separate in latent space, but it does not explain a single prediction.</w:t>
      </w:r>
    </w:p>
    <w:bookmarkEnd w:id="29"/>
    <w:bookmarkStart w:id="30" w:name="X4c3a6cbcbc808db3687220a6fd0125727f76c85"/>
    <w:p>
      <w:pPr>
        <w:pStyle w:val="Heading2"/>
      </w:pPr>
      <w:r>
        <w:t xml:space="preserve">2.6. Generalization: SSAST-Adapter, pre-trained language-audio models, LoRA, QLoRA and PEFT</w:t>
      </w:r>
    </w:p>
    <w:p>
      <w:pPr>
        <w:pStyle w:val="FirstParagraph"/>
      </w:pPr>
      <w:r>
        <w:t xml:space="preserve">Generalization is the ability to maintain performance when the test domain differs from the training domain. In UATR, this means that a model trained on one sea area, sensor or vessel population should still work on another. A practical strategy is to use a large pre-trained acoustic model and adapt it with a small number of trainable parameters. SSAST-Adapter and pre-trained language-audio model strategies [48,49] support this direction by showing that pre-trained audio or language-audio representations can be transferred to underwater acoustic tasks.</w:t>
      </w:r>
    </w:p>
    <w:p>
      <w:pPr>
        <w:pStyle w:val="BodyText"/>
      </w:pPr>
      <w:r>
        <w:t xml:space="preserve">LoRA adds a trainable low-rank residual to selected weight matrices while freezing the base model [27]. QLoRA quantizes the frozen backbone and trains low-rank adapters, reducing memory cost [28]. Adapter tuning inserts small bottleneck modules into Transformer layers [29]. PEFT is the general family of these methods. In UATR, PEFT is attractive because different sea areas or hydrophone configurations can be represented by small domain-specific modules instead of complete model copies.</w:t>
      </w:r>
    </w:p>
    <w:bookmarkEnd w:id="30"/>
    <w:bookmarkStart w:id="31" w:name="adversarial-robustness"/>
    <w:p>
      <w:pPr>
        <w:pStyle w:val="Heading2"/>
      </w:pPr>
      <w:r>
        <w:t xml:space="preserve">2.7. Adversarial robustness</w:t>
      </w:r>
    </w:p>
    <w:p>
      <w:pPr>
        <w:pStyle w:val="FirstParagraph"/>
      </w:pPr>
      <w:r>
        <w:t xml:space="preserve">Adversarial robustness refers to the ability of a model to maintain correct predictions when inputs are perturbed by small but harmful changes. In underwater acoustics, perturbations may be malicious, but they may also resemble natural interference, sensor artifacts or unknown transient events. The receiver-side assumption is important: the recognition system should not assume that it knows the attack source. Instead, it should train on broad attack families, detect out-of-distribution acoustic patterns, calibrate confidence and use smoothing or uncertainty estimation to reduce overconfident errors [19,20,32,45,46].</w:t>
      </w:r>
    </w:p>
    <w:bookmarkEnd w:id="31"/>
    <w:bookmarkStart w:id="32" w:name="required-concept-definitions-in-uatr"/>
    <w:p>
      <w:pPr>
        <w:pStyle w:val="Heading2"/>
      </w:pPr>
      <w:r>
        <w:t xml:space="preserve">2.8. Required concept definitions in UATR</w:t>
      </w:r>
    </w:p>
    <w:p>
      <w:pPr>
        <w:pStyle w:val="FirstParagraph"/>
      </w:pPr>
      <w:r>
        <w:t xml:space="preserve">Table 2. Concept definitions added according to the feedback.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Definition and role in UATR</w:t>
            </w:r>
          </w:p>
        </w:tc>
      </w:tr>
      <w:tr>
        <w:tc>
          <w:tcPr/>
          <w:p>
            <w:pPr>
              <w:pStyle w:val="Compact"/>
              <w:jc w:val="left"/>
            </w:pPr>
            <w:r>
              <w:t xml:space="preserve">Meta-adaptive</w:t>
            </w:r>
          </w:p>
        </w:tc>
        <w:tc>
          <w:tcPr/>
          <w:p>
            <w:pPr>
              <w:pStyle w:val="Compact"/>
              <w:jc w:val="left"/>
            </w:pPr>
            <w:r>
              <w:t xml:space="preserve">A learning design in which the model is trained to adapt rapidly to new acoustic tasks, such as unseen vessels, new sea areas or new SNR regimes, using few labeled samples and lightweight adaptation modules.</w:t>
            </w:r>
          </w:p>
        </w:tc>
      </w:tr>
      <w:tr>
        <w:tc>
          <w:tcPr/>
          <w:p>
            <w:pPr>
              <w:pStyle w:val="Compact"/>
              <w:jc w:val="left"/>
            </w:pPr>
            <w:r>
              <w:t xml:space="preserve">Contrastive learning</w:t>
            </w:r>
          </w:p>
        </w:tc>
        <w:tc>
          <w:tcPr/>
          <w:p>
            <w:pPr>
              <w:pStyle w:val="Compact"/>
              <w:jc w:val="left"/>
            </w:pPr>
            <w:r>
              <w:t xml:space="preserve">A self-supervised method that learns embeddings by making augmented views of the same acoustic segment similar and different segments dissimilar. It is useful because unlabeled hydrophone data are abundant.</w:t>
            </w:r>
          </w:p>
        </w:tc>
      </w:tr>
      <w:tr>
        <w:tc>
          <w:tcPr/>
          <w:p>
            <w:pPr>
              <w:pStyle w:val="Compact"/>
              <w:jc w:val="left"/>
            </w:pPr>
            <w:r>
              <w:t xml:space="preserve">Masked token modeling</w:t>
            </w:r>
          </w:p>
        </w:tc>
        <w:tc>
          <w:tcPr/>
          <w:p>
            <w:pPr>
              <w:pStyle w:val="Compact"/>
              <w:jc w:val="left"/>
            </w:pPr>
            <w:r>
              <w:t xml:space="preserve">A self-supervised Transformer task in which acoustic time-frequency tokens are masked and reconstructed or predicted from context. It helps the model learn harmonic, modulation and temporal acoustic structure.</w:t>
            </w:r>
          </w:p>
        </w:tc>
      </w:tr>
      <w:tr>
        <w:tc>
          <w:tcPr/>
          <w:p>
            <w:pPr>
              <w:pStyle w:val="Compact"/>
              <w:jc w:val="left"/>
            </w:pPr>
            <w:r>
              <w:t xml:space="preserve">Few-shot learning</w:t>
            </w:r>
          </w:p>
        </w:tc>
        <w:tc>
          <w:tcPr/>
          <w:p>
            <w:pPr>
              <w:pStyle w:val="Compact"/>
              <w:jc w:val="left"/>
            </w:pPr>
            <w:r>
              <w:t xml:space="preserve">Recognition using only a small number of labeled samples for each class, such as 1-shot or 5-shot target recognition.</w:t>
            </w:r>
          </w:p>
        </w:tc>
      </w:tr>
      <w:tr>
        <w:tc>
          <w:tcPr/>
          <w:p>
            <w:pPr>
              <w:pStyle w:val="Compact"/>
              <w:jc w:val="left"/>
            </w:pPr>
            <w:r>
              <w:t xml:space="preserve">Meta-learning</w:t>
            </w:r>
          </w:p>
        </w:tc>
        <w:tc>
          <w:tcPr/>
          <w:p>
            <w:pPr>
              <w:pStyle w:val="Compact"/>
              <w:jc w:val="left"/>
            </w:pPr>
            <w:r>
              <w:t xml:space="preserve">Training over many small tasks so the model learns how to adapt quickly to a new task. In this paper, it is implemented through episodic prototype learning.</w:t>
            </w:r>
          </w:p>
        </w:tc>
      </w:tr>
      <w:tr>
        <w:tc>
          <w:tcPr/>
          <w:p>
            <w:pPr>
              <w:pStyle w:val="Compact"/>
              <w:jc w:val="left"/>
            </w:pPr>
            <w:r>
              <w:t xml:space="preserve">Adversarial robustness</w:t>
            </w:r>
          </w:p>
        </w:tc>
        <w:tc>
          <w:tcPr/>
          <w:p>
            <w:pPr>
              <w:pStyle w:val="Compact"/>
              <w:jc w:val="left"/>
            </w:pPr>
            <w:r>
              <w:t xml:space="preserve">Reliability under adversarial or harmful perturbations in waveform or spectrogram space. It is evaluated by robust accuracy, detection AUROC and calibration error.</w:t>
            </w:r>
          </w:p>
        </w:tc>
      </w:tr>
      <w:tr>
        <w:tc>
          <w:tcPr/>
          <w:p>
            <w:pPr>
              <w:pStyle w:val="Compact"/>
              <w:jc w:val="left"/>
            </w:pPr>
            <w:r>
              <w:t xml:space="preserve">SSAST-Adapter</w:t>
            </w:r>
          </w:p>
        </w:tc>
        <w:tc>
          <w:tcPr/>
          <w:p>
            <w:pPr>
              <w:pStyle w:val="Compact"/>
              <w:jc w:val="left"/>
            </w:pPr>
            <w:r>
              <w:t xml:space="preserve">A parameter-efficient adaptation strategy based on self-supervised audio spectrogram Transformer representations and adapter modules. It supports incremental or domain-adaptive UATR.</w:t>
            </w:r>
          </w:p>
        </w:tc>
      </w:tr>
      <w:tr>
        <w:tc>
          <w:tcPr/>
          <w:p>
            <w:pPr>
              <w:pStyle w:val="Compact"/>
              <w:jc w:val="left"/>
            </w:pPr>
            <w:r>
              <w:t xml:space="preserve">Pre-trained language-audio strategy</w:t>
            </w:r>
          </w:p>
        </w:tc>
        <w:tc>
          <w:tcPr/>
          <w:p>
            <w:pPr>
              <w:pStyle w:val="Compact"/>
              <w:jc w:val="left"/>
            </w:pPr>
            <w:r>
              <w:t xml:space="preserve">A transfer strategy that uses representations learned by large audio or language-audio models and adapts them to underwater acoustic signals.</w:t>
            </w:r>
          </w:p>
        </w:tc>
      </w:tr>
      <w:tr>
        <w:tc>
          <w:tcPr/>
          <w:p>
            <w:pPr>
              <w:pStyle w:val="Compact"/>
              <w:jc w:val="left"/>
            </w:pPr>
            <w:r>
              <w:t xml:space="preserve">LoRA</w:t>
            </w:r>
          </w:p>
        </w:tc>
        <w:tc>
          <w:tcPr/>
          <w:p>
            <w:pPr>
              <w:pStyle w:val="Compact"/>
              <w:jc w:val="left"/>
            </w:pPr>
            <w:r>
              <w:t xml:space="preserve">Low-rank adaptation that trains low-rank matrices in selected layers while freezing the original backbone.</w:t>
            </w:r>
          </w:p>
        </w:tc>
      </w:tr>
      <w:tr>
        <w:tc>
          <w:tcPr/>
          <w:p>
            <w:pPr>
              <w:pStyle w:val="Compact"/>
              <w:jc w:val="left"/>
            </w:pPr>
            <w:r>
              <w:t xml:space="preserve">QLoRA</w:t>
            </w:r>
          </w:p>
        </w:tc>
        <w:tc>
          <w:tcPr/>
          <w:p>
            <w:pPr>
              <w:pStyle w:val="Compact"/>
              <w:jc w:val="left"/>
            </w:pPr>
            <w:r>
              <w:t xml:space="preserve">A memory-efficient LoRA variant that quantizes the frozen backbone and trains low-rank adapters on top.</w:t>
            </w:r>
          </w:p>
        </w:tc>
      </w:tr>
      <w:tr>
        <w:tc>
          <w:tcPr/>
          <w:p>
            <w:pPr>
              <w:pStyle w:val="Compact"/>
              <w:jc w:val="left"/>
            </w:pPr>
            <w:r>
              <w:t xml:space="preserve">PEFT</w:t>
            </w:r>
          </w:p>
        </w:tc>
        <w:tc>
          <w:tcPr/>
          <w:p>
            <w:pPr>
              <w:pStyle w:val="Compact"/>
              <w:jc w:val="left"/>
            </w:pPr>
            <w:r>
              <w:t xml:space="preserve">Parameter-efficient fine-tuning; a family of techniques including LoRA, QLoRA, adapters and prompt/domain-token tuning.</w:t>
            </w:r>
          </w:p>
        </w:tc>
      </w:tr>
      <w:tr>
        <w:tc>
          <w:tcPr/>
          <w:p>
            <w:pPr>
              <w:pStyle w:val="Compact"/>
              <w:jc w:val="left"/>
            </w:pPr>
            <w:r>
              <w:t xml:space="preserve">Macro-F1</w:t>
            </w:r>
          </w:p>
        </w:tc>
        <w:tc>
          <w:tcPr/>
          <w:p>
            <w:pPr>
              <w:pStyle w:val="Compact"/>
              <w:jc w:val="left"/>
            </w:pPr>
            <w:r>
              <w:t xml:space="preserve">The arithmetic mean of class-wise F1-scores. It is important for imbalanced UATR because each class contributes equally.</w:t>
            </w:r>
          </w:p>
        </w:tc>
      </w:tr>
      <w:tr>
        <w:tc>
          <w:tcPr/>
          <w:p>
            <w:pPr>
              <w:pStyle w:val="Compact"/>
              <w:jc w:val="left"/>
            </w:pPr>
            <w:r>
              <w:t xml:space="preserve">t-SNE</w:t>
            </w:r>
          </w:p>
        </w:tc>
        <w:tc>
          <w:tcPr/>
          <w:p>
            <w:pPr>
              <w:pStyle w:val="Compact"/>
              <w:jc w:val="left"/>
            </w:pPr>
            <w:r>
              <w:t xml:space="preserve">t-distributed stochastic neighbor embedding; a nonlinear method for visualizing high-dimensional embeddings in two dimensions.</w:t>
            </w:r>
          </w:p>
        </w:tc>
      </w:tr>
      <w:tr>
        <w:tc>
          <w:tcPr/>
          <w:p>
            <w:pPr>
              <w:pStyle w:val="Compact"/>
              <w:jc w:val="left"/>
            </w:pPr>
            <w:r>
              <w:t xml:space="preserve">InfoNCE</w:t>
            </w:r>
          </w:p>
        </w:tc>
        <w:tc>
          <w:tcPr/>
          <w:p>
            <w:pPr>
              <w:pStyle w:val="Compact"/>
              <w:jc w:val="left"/>
            </w:pPr>
            <w:r>
              <w:t xml:space="preserve">A contrastive loss from contrastive predictive coding [50]. It classifies the positive pair among negative samples and encourages informative acoustic embeddings.</w:t>
            </w:r>
          </w:p>
        </w:tc>
      </w:tr>
    </w:tbl>
    <w:bookmarkEnd w:id="32"/>
    <w:bookmarkEnd w:id="33"/>
    <w:bookmarkStart w:id="49" w:name="proposed-mair-uatr-framework"/>
    <w:p>
      <w:pPr>
        <w:pStyle w:val="Heading1"/>
      </w:pPr>
      <w:r>
        <w:t xml:space="preserve">3. Proposed MAIR-UATR framework</w:t>
      </w:r>
    </w:p>
    <w:p>
      <w:pPr>
        <w:pStyle w:val="FirstParagraph"/>
      </w:pPr>
      <w:r>
        <w:t xml:space="preserve">Figure 1 illustrates the detailed MAIR-UATR framework. The framework accepts raw hydrophone waveform segments, constructs complementary acoustic views, learns robust embeddings through contrastive and masked self-supervised pretraining, adapts to few-shot and new-domain conditions, and produces predictions with confidence, explanation maps and receiver-side alarms.</w:t>
      </w:r>
    </w:p>
    <w:p>
      <w:pPr>
        <w:pStyle w:val="CaptionedFigure"/>
      </w:pPr>
      <w:r>
        <w:drawing>
          <wp:inline>
            <wp:extent cx="5334000" cy="3258843"/>
            <wp:effectExtent b="0" l="0" r="0" t="0"/>
            <wp:docPr descr="Figure 1. Detailed MAIR-UATR pipeline: multi-view representation, self-supervised learning, meta-adaptation, PEFT, interpretability and robustness." title="" id="35" name="Picture"/>
            <a:graphic>
              <a:graphicData uri="http://schemas.openxmlformats.org/drawingml/2006/picture">
                <pic:pic>
                  <pic:nvPicPr>
                    <pic:cNvPr descr="/mnt/data/mair_uatr_architecture_detailed.png" id="36" name="Picture"/>
                    <pic:cNvPicPr>
                      <a:picLocks noChangeArrowheads="1" noChangeAspect="1"/>
                    </pic:cNvPicPr>
                  </pic:nvPicPr>
                  <pic:blipFill>
                    <a:blip r:embed="rId34"/>
                    <a:stretch>
                      <a:fillRect/>
                    </a:stretch>
                  </pic:blipFill>
                  <pic:spPr bwMode="auto">
                    <a:xfrm>
                      <a:off x="0" y="0"/>
                      <a:ext cx="5334000" cy="3258843"/>
                    </a:xfrm>
                    <a:prstGeom prst="rect">
                      <a:avLst/>
                    </a:prstGeom>
                    <a:noFill/>
                    <a:ln w="9525">
                      <a:noFill/>
                      <a:headEnd/>
                      <a:tailEnd/>
                    </a:ln>
                  </pic:spPr>
                </pic:pic>
              </a:graphicData>
            </a:graphic>
          </wp:inline>
        </w:drawing>
      </w:r>
    </w:p>
    <w:p>
      <w:pPr>
        <w:pStyle w:val="ImageCaption"/>
      </w:pPr>
      <w:r>
        <w:t xml:space="preserve">Figure 1. Detailed MAIR-UATR pipeline: multi-view representation, self-supervised learning, meta-adaptation, PEFT, interpretability and robustness.</w:t>
      </w:r>
    </w:p>
    <w:bookmarkStart w:id="37" w:name="problem-formulation"/>
    <w:p>
      <w:pPr>
        <w:pStyle w:val="Heading2"/>
      </w:pPr>
      <w:r>
        <w:t xml:space="preserve">3.1. Problem formulation</w:t>
      </w:r>
    </w:p>
    <w:p>
      <w:pPr>
        <w:pStyle w:val="FirstParagraph"/>
      </w:pPr>
      <w:r>
        <w:t xml:space="preserve">Let</w:t>
      </w:r>
      <w:r>
        <w:t xml:space="preserve"> </w:t>
      </w:r>
      <m:oMath>
        <m:r>
          <m:t>x</m:t>
        </m:r>
        <m:d>
          <m:dPr>
            <m:begChr m:val="("/>
            <m:endChr m:val=")"/>
            <m:sepChr m:val=""/>
            <m:grow/>
          </m:dPr>
          <m:e>
            <m:r>
              <m:t>t</m:t>
            </m:r>
          </m:e>
        </m:d>
      </m:oMath>
      <w:r>
        <w:t xml:space="preserve"> </w:t>
      </w:r>
      <w:r>
        <w:t xml:space="preserve">denote a waveform segment recorded by a hydrophone or hydrophone array, and let</w:t>
      </w:r>
      <w:r>
        <w:t xml:space="preserve"> </w:t>
      </w:r>
      <m:oMath>
        <m:r>
          <m:t>y</m:t>
        </m:r>
        <m:r>
          <m:rPr>
            <m:sty m:val="p"/>
          </m:rPr>
          <m:t>∈</m:t>
        </m:r>
        <m:r>
          <m:rPr>
            <m:sty m:val="p"/>
          </m:rPr>
          <m:t>{</m:t>
        </m:r>
        <m:r>
          <m:t>1</m:t>
        </m:r>
        <m:r>
          <m:rPr>
            <m:sty m:val="p"/>
          </m:rPr>
          <m:t>,</m:t>
        </m:r>
        <m:r>
          <m:rPr>
            <m:sty m:val="p"/>
          </m:rPr>
          <m:t>…</m:t>
        </m:r>
        <m:r>
          <m:rPr>
            <m:sty m:val="p"/>
          </m:rPr>
          <m:t>,</m:t>
        </m:r>
        <m:r>
          <m:t>C</m:t>
        </m:r>
        <m:r>
          <m:rPr>
            <m:sty m:val="p"/>
          </m:rPr>
          <m:t>}</m:t>
        </m:r>
      </m:oMath>
      <w:r>
        <w:t xml:space="preserve"> </w:t>
      </w:r>
      <w:r>
        <w:t xml:space="preserve">denote its target class. UATR seeks a model</w:t>
      </w:r>
      <w:r>
        <w:t xml:space="preserve"> </w:t>
      </w:r>
      <m:oMath>
        <m:sSub>
          <m:e>
            <m:r>
              <m:t>f</m:t>
            </m:r>
          </m:e>
          <m:sub>
            <m:r>
              <m:t>θ</m:t>
            </m:r>
          </m:sub>
        </m:sSub>
      </m:oMath>
      <w:r>
        <w:t xml:space="preserve"> </w:t>
      </w:r>
      <w:r>
        <w:t xml:space="preserve">that maps</w:t>
      </w:r>
      <w:r>
        <w:t xml:space="preserve"> </w:t>
      </w:r>
      <m:oMath>
        <m:r>
          <m:t>x</m:t>
        </m:r>
        <m:d>
          <m:dPr>
            <m:begChr m:val="("/>
            <m:endChr m:val=")"/>
            <m:sepChr m:val=""/>
            <m:grow/>
          </m:dPr>
          <m:e>
            <m:r>
              <m:t>t</m:t>
            </m:r>
          </m:e>
        </m:d>
      </m:oMath>
      <w:r>
        <w:t xml:space="preserve"> </w:t>
      </w:r>
      <w:r>
        <w:t xml:space="preserve">to a posterior probability</w:t>
      </w:r>
      <w:r>
        <w:t xml:space="preserve"> </w:t>
      </w:r>
      <m:oMath>
        <m:r>
          <m:t>p</m:t>
        </m:r>
        <m:d>
          <m:dPr>
            <m:begChr m:val="("/>
            <m:endChr m:val=")"/>
            <m:sepChr m:val=""/>
            <m:grow/>
          </m:dPr>
          <m:e>
            <m:r>
              <m:t>y</m:t>
            </m:r>
            <m:r>
              <m:rPr>
                <m:sty m:val="p"/>
              </m:rPr>
              <m:t>∣</m:t>
            </m:r>
            <m:r>
              <m:t>x</m:t>
            </m:r>
          </m:e>
        </m:d>
      </m:oMath>
      <w:r>
        <w:t xml:space="preserve">. In deployment, the model is trained on labeled source domains</w:t>
      </w:r>
      <w:r>
        <w:t xml:space="preserve"> </w:t>
      </w:r>
      <m:oMath>
        <m:sSub>
          <m:e>
            <m:r>
              <m:t>D</m:t>
            </m:r>
          </m:e>
          <m:sub>
            <m:r>
              <m:t>s</m:t>
            </m:r>
          </m:sub>
        </m:sSub>
      </m:oMath>
      <w:r>
        <w:t xml:space="preserve"> </w:t>
      </w:r>
      <w:r>
        <w:t xml:space="preserve">but evaluated on target domains</w:t>
      </w:r>
      <w:r>
        <w:t xml:space="preserve"> </w:t>
      </w:r>
      <m:oMath>
        <m:sSub>
          <m:e>
            <m:r>
              <m:t>D</m:t>
            </m:r>
          </m:e>
          <m:sub>
            <m:r>
              <m:t>t</m:t>
            </m:r>
          </m:sub>
        </m:sSub>
      </m:oMath>
      <w:r>
        <w:t xml:space="preserve"> </w:t>
      </w:r>
      <w:r>
        <w:t xml:space="preserve">that may differ in sea area, vessel population, SNR, operating speed and sensor characteristics. The objective is therefore not only high in-domain accuracy, but also stable performance under low-SNR, few-shot, unseen-domain and adversarial conditions.</w:t>
      </w:r>
    </w:p>
    <w:bookmarkEnd w:id="37"/>
    <w:bookmarkStart w:id="38" w:name="preprocessing-and-acoustic-segmentation"/>
    <w:p>
      <w:pPr>
        <w:pStyle w:val="Heading2"/>
      </w:pPr>
      <w:r>
        <w:t xml:space="preserve">3.2. Preprocessing and acoustic segmentation</w:t>
      </w:r>
    </w:p>
    <w:p>
      <w:pPr>
        <w:pStyle w:val="FirstParagraph"/>
      </w:pPr>
      <w:r>
        <w:t xml:space="preserve">Each waveform is converted to a standard sampling rate, divided into overlapping segments and normalized by robust statistics. Band-pass filtering removes irrelevant frequency bands, while spectral subtraction or neural denoising can be used when severe stationary noise is present. Doppler-aware augmentation is applied by bounded speed perturbation. Segment labels are inherited from recording-level metadata only when the segment is dominated by a known source. For multi-target scenes, weak labels or detection masks should be used to avoid assigning incorrect single-target labels.</w:t>
      </w:r>
    </w:p>
    <w:bookmarkEnd w:id="38"/>
    <w:bookmarkStart w:id="39" w:name="multi-view-acoustic-feature-construction"/>
    <w:p>
      <w:pPr>
        <w:pStyle w:val="Heading2"/>
      </w:pPr>
      <w:r>
        <w:t xml:space="preserve">3.3. Multi-view acoustic feature construction</w:t>
      </w:r>
    </w:p>
    <w:p>
      <w:pPr>
        <w:pStyle w:val="FirstParagraph"/>
      </w:pPr>
      <w:r>
        <w:t xml:space="preserve">A single acoustic representation rarely captures all discriminative information. MAIR-UATR constructs a set of views</w:t>
      </w:r>
    </w:p>
    <w:p>
      <w:pPr>
        <w:pStyle w:val="BodyText"/>
      </w:pPr>
    </w:p>
    <w:p>
      <w:pPr>
        <w:pStyle w:val="BodyText"/>
      </w:pPr>
      <w:r>
        <w:t xml:space="preserve">STFT emphasizes local time-frequency energy; Mel and GFCC encode auditory-inspired spectral structure; CQT provides higher resolution at low frequency; DEMON and LOFAR highlight modulation and narrowband machinery signatures. Each view is normalized with training-domain statistics and augmented by time shift, gain perturbation, speed perturbation, band masking, reverberation and colored-noise injection.</w:t>
      </w:r>
    </w:p>
    <w:p>
      <w:pPr>
        <w:pStyle w:val="BodyText"/>
      </w:pPr>
      <w:r>
        <w:t xml:space="preserve">The view tensors are passed through learnable Gabor filters. A Gabor kernel can be written as</w:t>
      </w:r>
    </w:p>
    <w:p>
      <w:pPr>
        <w:pStyle w:val="BodyText"/>
      </w:pPr>
    </w:p>
    <w:p>
      <w:pPr>
        <w:pStyle w:val="BodyText"/>
      </w:pPr>
      <w:r>
        <w:t xml:space="preserve">where</w:t>
      </w:r>
      <w:r>
        <w:t xml:space="preserve"> </w:t>
      </w:r>
      <m:oMath>
        <m:r>
          <m:t>f</m:t>
        </m:r>
      </m:oMath>
      <w:r>
        <w:t xml:space="preserve">,</w:t>
      </w:r>
      <w:r>
        <w:t xml:space="preserve"> </w:t>
      </w:r>
      <m:oMath>
        <m:r>
          <m:t>σ</m:t>
        </m:r>
      </m:oMath>
      <w:r>
        <w:t xml:space="preserve"> </w:t>
      </w:r>
      <w:r>
        <w:t xml:space="preserve">and</w:t>
      </w:r>
      <w:r>
        <w:t xml:space="preserve"> </w:t>
      </w:r>
      <m:oMath>
        <m:r>
          <m:t>ϕ</m:t>
        </m:r>
      </m:oMath>
      <w:r>
        <w:t xml:space="preserve"> </w:t>
      </w:r>
      <w:r>
        <w:t xml:space="preserve">are learnable or partially learnable parameters. This preserves signal-processing interpretability while allowing the model to adapt to underwater acoustic signatures.</w:t>
      </w:r>
    </w:p>
    <w:bookmarkEnd w:id="39"/>
    <w:bookmarkStart w:id="40" w:name="acoustic-transformer-encoder"/>
    <w:p>
      <w:pPr>
        <w:pStyle w:val="Heading2"/>
      </w:pPr>
      <w:r>
        <w:t xml:space="preserve">3.4. Acoustic Transformer encoder</w:t>
      </w:r>
    </w:p>
    <w:p>
      <w:pPr>
        <w:pStyle w:val="FirstParagraph"/>
      </w:pPr>
      <w:r>
        <w:t xml:space="preserve">The multi-view representation is converted into acoustic patches. View-specific patch embeddings are concatenated with a view embedding and a domain token. The Transformer backbone uses multi-head self-attention to capture long-range relationships among time-frequency regions. For target class</w:t>
      </w:r>
      <w:r>
        <w:t xml:space="preserve"> </w:t>
      </w:r>
      <m:oMath>
        <m:r>
          <m:t>k</m:t>
        </m:r>
      </m:oMath>
      <w:r>
        <w:t xml:space="preserve">, the classifier produces logits</w:t>
      </w:r>
      <w:r>
        <w:t xml:space="preserve"> </w:t>
      </w:r>
      <m:oMath>
        <m:sSub>
          <m:e>
            <m:r>
              <m:t>h</m:t>
            </m:r>
          </m:e>
          <m:sub>
            <m:r>
              <m:t>k</m:t>
            </m:r>
          </m:sub>
        </m:sSub>
      </m:oMath>
      <w:r>
        <w:t xml:space="preserve"> </w:t>
      </w:r>
      <w:r>
        <w:t xml:space="preserve">and posterior probabilities:</w:t>
      </w:r>
    </w:p>
    <w:p>
      <w:pPr>
        <w:pStyle w:val="BodyText"/>
      </w:pPr>
    </w:p>
    <w:p>
      <w:pPr>
        <w:pStyle w:val="BodyText"/>
      </w:pPr>
      <w:r>
        <w:t xml:space="preserve">The domain token encodes environmental context such as sensor type, sea area, SNR bin or operating condition when metadata are available. When metadata are unavailable, the token can be predicted by a small environment encoder using acoustic statistics.</w:t>
      </w:r>
    </w:p>
    <w:bookmarkEnd w:id="40"/>
    <w:bookmarkStart w:id="41" w:name="infonce-contrastive-pretraining"/>
    <w:p>
      <w:pPr>
        <w:pStyle w:val="Heading2"/>
      </w:pPr>
      <w:r>
        <w:t xml:space="preserve">3.5. InfoNCE contrastive pretraining</w:t>
      </w:r>
    </w:p>
    <w:p>
      <w:pPr>
        <w:pStyle w:val="FirstParagraph"/>
      </w:pPr>
      <w:r>
        <w:t xml:space="preserve">Because labeled UATR data are scarce, MAIR-UATR first trains the acoustic encoder using unlabeled waveform segments. For each waveform</w:t>
      </w:r>
      <w:r>
        <w:t xml:space="preserve"> </w:t>
      </w:r>
      <m:oMath>
        <m:sSub>
          <m:e>
            <m:r>
              <m:t>x</m:t>
            </m:r>
          </m:e>
          <m:sub>
            <m:r>
              <m:t>i</m:t>
            </m:r>
          </m:sub>
        </m:sSub>
      </m:oMath>
      <w:r>
        <w:t xml:space="preserve">, two augmented views</w:t>
      </w:r>
      <w:r>
        <w:t xml:space="preserve"> </w:t>
      </w:r>
      <m:oMath>
        <m:sSubSup>
          <m:e>
            <m:r>
              <m:t>x</m:t>
            </m:r>
          </m:e>
          <m:sub>
            <m:r>
              <m:t>i</m:t>
            </m:r>
          </m:sub>
          <m:sup>
            <m:r>
              <m:t>a</m:t>
            </m:r>
          </m:sup>
        </m:sSubSup>
      </m:oMath>
      <w:r>
        <w:t xml:space="preserve"> </w:t>
      </w:r>
      <w:r>
        <w:t xml:space="preserve">and</w:t>
      </w:r>
      <w:r>
        <w:t xml:space="preserve"> </w:t>
      </w:r>
      <m:oMath>
        <m:sSubSup>
          <m:e>
            <m:r>
              <m:t>x</m:t>
            </m:r>
          </m:e>
          <m:sub>
            <m:r>
              <m:t>i</m:t>
            </m:r>
          </m:sub>
          <m:sup>
            <m:r>
              <m:t>b</m:t>
            </m:r>
          </m:sup>
        </m:sSubSup>
      </m:oMath>
      <w:r>
        <w:t xml:space="preserve"> </w:t>
      </w:r>
      <w:r>
        <w:t xml:space="preserve">are produced. Their embeddings</w:t>
      </w:r>
      <w:r>
        <w:t xml:space="preserve"> </w:t>
      </w:r>
      <m:oMath>
        <m:sSubSup>
          <m:e>
            <m:r>
              <m:t>z</m:t>
            </m:r>
          </m:e>
          <m:sub>
            <m:r>
              <m:t>i</m:t>
            </m:r>
          </m:sub>
          <m:sup>
            <m:r>
              <m:t>a</m:t>
            </m:r>
          </m:sup>
        </m:sSubSup>
      </m:oMath>
      <w:r>
        <w:t xml:space="preserve"> </w:t>
      </w:r>
      <w:r>
        <w:t xml:space="preserve">and</w:t>
      </w:r>
      <w:r>
        <w:t xml:space="preserve"> </w:t>
      </w:r>
      <m:oMath>
        <m:sSubSup>
          <m:e>
            <m:r>
              <m:t>z</m:t>
            </m:r>
          </m:e>
          <m:sub>
            <m:r>
              <m:t>i</m:t>
            </m:r>
          </m:sub>
          <m:sup>
            <m:r>
              <m:t>b</m:t>
            </m:r>
          </m:sup>
        </m:sSubSup>
      </m:oMath>
      <w:r>
        <w:t xml:space="preserve"> </w:t>
      </w:r>
      <w:r>
        <w:t xml:space="preserve">are positive pairs, while embeddings from other segments are negatives. The InfoNCE loss is</w:t>
      </w:r>
    </w:p>
    <w:p>
      <w:pPr>
        <w:pStyle w:val="BodyText"/>
      </w:pPr>
    </w:p>
    <w:p>
      <w:pPr>
        <w:pStyle w:val="BodyText"/>
      </w:pPr>
      <w:r>
        <w:t xml:space="preserve">Here</w:t>
      </w:r>
      <w:r>
        <w:t xml:space="preserve"> </w:t>
      </w:r>
      <m:oMath>
        <m:r>
          <m:rPr>
            <m:sty m:val="p"/>
          </m:rPr>
          <m:t>sim</m:t>
        </m:r>
        <m:d>
          <m:dPr>
            <m:begChr m:val="("/>
            <m:endChr m:val=")"/>
            <m:sepChr m:val=""/>
            <m:grow/>
          </m:dPr>
          <m:e>
            <m:r>
              <m:rPr>
                <m:sty m:val="p"/>
              </m:rPr>
              <m:t>⋅</m:t>
            </m:r>
            <m:r>
              <m:rPr>
                <m:sty m:val="p"/>
              </m:rPr>
              <m:t>,</m:t>
            </m:r>
            <m:r>
              <m:rPr>
                <m:sty m:val="p"/>
              </m:rPr>
              <m:t>⋅</m:t>
            </m:r>
          </m:e>
        </m:d>
      </m:oMath>
      <w:r>
        <w:t xml:space="preserve"> </w:t>
      </w:r>
      <w:r>
        <w:t xml:space="preserve">denotes cosine similarity and</w:t>
      </w:r>
      <w:r>
        <w:t xml:space="preserve"> </w:t>
      </w:r>
      <m:oMath>
        <m:r>
          <m:t>τ</m:t>
        </m:r>
      </m:oMath>
      <w:r>
        <w:t xml:space="preserve"> </w:t>
      </w:r>
      <w:r>
        <w:t xml:space="preserve">is a temperature parameter. InfoNCE was introduced in contrastive predictive coding by Oord et al. [50] and is used here to learn robust acoustic embeddings from unlabeled ocean audio.</w:t>
      </w:r>
    </w:p>
    <w:bookmarkEnd w:id="41"/>
    <w:bookmarkStart w:id="42" w:name="masked-acoustic-token-modeling"/>
    <w:p>
      <w:pPr>
        <w:pStyle w:val="Heading2"/>
      </w:pPr>
      <w:r>
        <w:t xml:space="preserve">3.6. Masked acoustic token modeling</w:t>
      </w:r>
    </w:p>
    <w:p>
      <w:pPr>
        <w:pStyle w:val="FirstParagraph"/>
      </w:pPr>
      <w:r>
        <w:t xml:space="preserve">For masked token modeling, a subset</w:t>
      </w:r>
      <w:r>
        <w:t xml:space="preserve"> </w:t>
      </w:r>
      <m:oMath>
        <m:r>
          <m:t>M</m:t>
        </m:r>
      </m:oMath>
      <w:r>
        <w:t xml:space="preserve"> </w:t>
      </w:r>
      <w:r>
        <w:t xml:space="preserve">of acoustic tokens is hidden. The model predicts the original token features or a discrete token code. A reconstruction objective can be written as</w:t>
      </w:r>
    </w:p>
    <w:p>
      <w:pPr>
        <w:pStyle w:val="BodyText"/>
      </w:pPr>
    </w:p>
    <w:p>
      <w:pPr>
        <w:pStyle w:val="BodyText"/>
      </w:pPr>
      <w:r>
        <w:t xml:space="preserve">Masked token modeling is combined with InfoNCE when enough unlabeled audio is available. InfoNCE improves instance discrimination, while masked modeling improves contextual reconstruction of acoustic structures.</w:t>
      </w:r>
    </w:p>
    <w:bookmarkEnd w:id="42"/>
    <w:bookmarkStart w:id="43" w:name="meta-adaptive-few-shot-learning"/>
    <w:p>
      <w:pPr>
        <w:pStyle w:val="Heading2"/>
      </w:pPr>
      <w:r>
        <w:t xml:space="preserve">3.7. Meta-adaptive few-shot learning</w:t>
      </w:r>
    </w:p>
    <w:p>
      <w:pPr>
        <w:pStyle w:val="FirstParagraph"/>
      </w:pPr>
      <w:r>
        <w:t xml:space="preserve">To improve recognition under few-shot conditions, training is organized into episodes. Each episode contains a support set</w:t>
      </w:r>
      <w:r>
        <w:t xml:space="preserve"> </w:t>
      </w:r>
      <m:oMath>
        <m:r>
          <m:t>S</m:t>
        </m:r>
      </m:oMath>
      <w:r>
        <w:t xml:space="preserve"> </w:t>
      </w:r>
      <w:r>
        <w:t xml:space="preserve">and a query set</w:t>
      </w:r>
      <w:r>
        <w:t xml:space="preserve"> </w:t>
      </w:r>
      <m:oMath>
        <m:r>
          <m:t>Q</m:t>
        </m:r>
      </m:oMath>
      <w:r>
        <w:t xml:space="preserve">. Class prototypes are computed from support embeddings:</w:t>
      </w:r>
    </w:p>
    <w:p>
      <w:pPr>
        <w:pStyle w:val="BodyText"/>
      </w:pPr>
    </w:p>
    <w:p>
      <w:pPr>
        <w:pStyle w:val="BodyText"/>
      </w:pPr>
      <w:r>
        <w:t xml:space="preserve">For a query sample</w:t>
      </w:r>
      <w:r>
        <w:t xml:space="preserve"> </w:t>
      </w:r>
      <m:oMath>
        <m:r>
          <m:t>q</m:t>
        </m:r>
      </m:oMath>
      <w:r>
        <w:t xml:space="preserve">, the probability of class</w:t>
      </w:r>
      <w:r>
        <w:t xml:space="preserve"> </w:t>
      </w:r>
      <m:oMath>
        <m:r>
          <m:t>k</m:t>
        </m:r>
      </m:oMath>
      <w:r>
        <w:t xml:space="preserve"> </w:t>
      </w:r>
      <w:r>
        <w:t xml:space="preserve">is computed from distances to prototypes:</w:t>
      </w:r>
    </w:p>
    <w:p>
      <w:pPr>
        <w:pStyle w:val="BodyText"/>
      </w:pPr>
    </w:p>
    <w:p>
      <w:pPr>
        <w:pStyle w:val="BodyText"/>
      </w:pPr>
      <w:r>
        <w:t xml:space="preserve">The episodic loss is the query-set cross-entropy:</w:t>
      </w:r>
    </w:p>
    <w:p>
      <w:pPr>
        <w:pStyle w:val="BodyText"/>
      </w:pPr>
    </w:p>
    <w:p>
      <w:pPr>
        <w:pStyle w:val="BodyText"/>
      </w:pPr>
      <w:r>
        <w:t xml:space="preserve">SNR-aware episodes are constructed by sampling query examples from harder noise conditions than support examples, forcing the encoder to learn noise-invariant target information.</w:t>
      </w:r>
    </w:p>
    <w:bookmarkEnd w:id="43"/>
    <w:bookmarkStart w:id="44" w:name="Xd69900c8f0acc8a85099237db4012994f25c51e"/>
    <w:p>
      <w:pPr>
        <w:pStyle w:val="Heading2"/>
      </w:pPr>
      <w:r>
        <w:t xml:space="preserve">3.8. Parameter-efficient generalization with LoRA, QLoRA and adapters</w:t>
      </w:r>
    </w:p>
    <w:p>
      <w:pPr>
        <w:pStyle w:val="FirstParagraph"/>
      </w:pPr>
      <w:r>
        <w:t xml:space="preserve">To address environment mismatch, MAIR-UATR uses a frozen acoustic Transformer backbone and trains lightweight adaptation modules. In LoRA, a weight matrix</w:t>
      </w:r>
      <w:r>
        <w:t xml:space="preserve"> </w:t>
      </w:r>
      <m:oMath>
        <m:r>
          <m:t>W</m:t>
        </m:r>
      </m:oMath>
      <w:r>
        <w:t xml:space="preserve"> </w:t>
      </w:r>
      <w:r>
        <w:t xml:space="preserve">is updated by a low-rank residual term:</w:t>
      </w:r>
    </w:p>
    <w:p>
      <w:pPr>
        <w:pStyle w:val="BodyText"/>
      </w:pPr>
    </w:p>
    <w:p>
      <w:pPr>
        <w:pStyle w:val="BodyText"/>
      </w:pPr>
      <w:r>
        <w:t xml:space="preserve">The low-rank matrices</w:t>
      </w:r>
      <w:r>
        <w:t xml:space="preserve"> </w:t>
      </w:r>
      <m:oMath>
        <m:r>
          <m:t>A</m:t>
        </m:r>
      </m:oMath>
      <w:r>
        <w:t xml:space="preserve"> </w:t>
      </w:r>
      <w:r>
        <w:t xml:space="preserve">and</w:t>
      </w:r>
      <w:r>
        <w:t xml:space="preserve"> </w:t>
      </w:r>
      <m:oMath>
        <m:r>
          <m:t>B</m:t>
        </m:r>
      </m:oMath>
      <w:r>
        <w:t xml:space="preserve"> </w:t>
      </w:r>
      <w:r>
        <w:t xml:space="preserve">are trained in attention and feed-forward layers, while the base model remains frozen. QLoRA further reduces memory by quantizing the frozen backbone and training low-rank adapters. Adapter tuning inserts small bottleneck networks inside Transformer layers. In UATR, this enables a single acoustic backbone to support multiple sea areas or sensors by swapping small domain-specific modules.</w:t>
      </w:r>
    </w:p>
    <w:p>
      <w:pPr>
        <w:pStyle w:val="BodyText"/>
      </w:pPr>
      <w:r>
        <w:t xml:space="preserve">A distribution-alignment loss reduces source-target mismatch:</w:t>
      </w:r>
    </w:p>
    <w:p>
      <w:pPr>
        <w:pStyle w:val="BodyText"/>
      </w:pPr>
    </w:p>
    <w:p>
      <w:pPr>
        <w:pStyle w:val="BodyText"/>
      </w:pPr>
      <w:r>
        <w:t xml:space="preserve">The first term aligns source and target embedding distributions, while the second term aligns second-order statistics.</w:t>
      </w:r>
    </w:p>
    <w:bookmarkEnd w:id="44"/>
    <w:bookmarkStart w:id="45" w:name="X72deb27032beb5e655bc387d3c7e6d8e160fcce"/>
    <w:p>
      <w:pPr>
        <w:pStyle w:val="Heading2"/>
      </w:pPr>
      <w:r>
        <w:t xml:space="preserve">3.9. Interpretability module and method selection</w:t>
      </w:r>
    </w:p>
    <w:p>
      <w:pPr>
        <w:pStyle w:val="FirstParagraph"/>
      </w:pPr>
      <w:r>
        <w:t xml:space="preserve">Among Grad-CAM, t-SNE and attention mechanisms, Grad-CAM is recommended as the primary feature-map visualization method for UATR. The reason is practical: UATR inputs are usually spectrogram-like time-frequency maps, and Grad-CAM localizes the time-frequency regions that most influence a class decision. This directly indicates whether the model relies on physically meaningful spectral lines, broadband transients or noise artifacts. Attention rollout is useful for Transformer diagnostics, but attention weights alone should not be treated as causal explanations. t-SNE is useful for visualizing class/domain separability in the embedding space, but it is not a feature-map explanation method.</w:t>
      </w:r>
    </w:p>
    <w:p>
      <w:pPr>
        <w:pStyle w:val="BodyText"/>
      </w:pPr>
      <w:r>
        <w:t xml:space="preserve">For a feature map</w:t>
      </w:r>
      <w:r>
        <w:t xml:space="preserve"> </w:t>
      </w:r>
      <m:oMath>
        <m:sSup>
          <m:e>
            <m:r>
              <m:t>A</m:t>
            </m:r>
          </m:e>
          <m:sup>
            <m:r>
              <m:t>m</m:t>
            </m:r>
          </m:sup>
        </m:sSup>
      </m:oMath>
      <w:r>
        <w:t xml:space="preserve"> </w:t>
      </w:r>
      <w:r>
        <w:t xml:space="preserve">and target class</w:t>
      </w:r>
      <w:r>
        <w:t xml:space="preserve"> </w:t>
      </w:r>
      <m:oMath>
        <m:r>
          <m:t>c</m:t>
        </m:r>
      </m:oMath>
      <w:r>
        <w:t xml:space="preserve">, Grad-CAM is computed as</w:t>
      </w:r>
    </w:p>
    <w:p>
      <w:pPr>
        <w:pStyle w:val="BodyText"/>
      </w:pPr>
    </w:p>
    <w:p>
      <w:pPr>
        <w:pStyle w:val="BodyText"/>
      </w:pPr>
      <w:r>
        <w:t xml:space="preserve">For Transformer encoders, token embeddings are reshaped to the time-frequency patch grid before applying the same class-activation principle. Explanation consistency is introduced by comparing predictions before and after masking salient regions:</w:t>
      </w:r>
    </w:p>
    <w:p>
      <w:pPr>
        <w:pStyle w:val="BodyText"/>
      </w:pPr>
    </w:p>
    <w:p>
      <w:pPr>
        <w:pStyle w:val="BodyText"/>
      </w:pPr>
      <w:r>
        <w:t xml:space="preserve">where</w:t>
      </w:r>
      <w:r>
        <w:t xml:space="preserve"> </w:t>
      </w:r>
      <m:oMath>
        <m:sSub>
          <m:e>
            <m:r>
              <m:t>p</m:t>
            </m:r>
          </m:e>
          <m:sub>
            <m:r>
              <m:t>c</m:t>
            </m:r>
          </m:sub>
        </m:sSub>
        <m:d>
          <m:dPr>
            <m:begChr m:val="("/>
            <m:endChr m:val=")"/>
            <m:sepChr m:val=""/>
            <m:grow/>
          </m:dPr>
          <m:e>
            <m:r>
              <m:t>x</m:t>
            </m:r>
          </m:e>
        </m:d>
      </m:oMath>
      <w:r>
        <w:t xml:space="preserve"> </w:t>
      </w:r>
      <w:r>
        <w:t xml:space="preserve">is the confidence for class</w:t>
      </w:r>
      <w:r>
        <w:t xml:space="preserve"> </w:t>
      </w:r>
      <m:oMath>
        <m:r>
          <m:t>c</m:t>
        </m:r>
      </m:oMath>
      <w:r>
        <w:t xml:space="preserve"> </w:t>
      </w:r>
      <w:r>
        <w:t xml:space="preserve">and</w:t>
      </w:r>
      <w:r>
        <w:t xml:space="preserve"> </w:t>
      </w:r>
      <m:oMath>
        <m:r>
          <m:t>η</m:t>
        </m:r>
      </m:oMath>
      <w:r>
        <w:t xml:space="preserve"> </w:t>
      </w:r>
      <w:r>
        <w:t xml:space="preserve">is a minimum expected confidence drop after masking class-salient evidence.</w:t>
      </w:r>
    </w:p>
    <w:bookmarkEnd w:id="45"/>
    <w:bookmarkStart w:id="46" w:name="receiver-side-adversarial-robustness"/>
    <w:p>
      <w:pPr>
        <w:pStyle w:val="Heading2"/>
      </w:pPr>
      <w:r>
        <w:t xml:space="preserve">3.10. Receiver-side adversarial robustness</w:t>
      </w:r>
    </w:p>
    <w:p>
      <w:pPr>
        <w:pStyle w:val="FirstParagraph"/>
      </w:pPr>
      <w:r>
        <w:t xml:space="preserve">The receiver does not assume knowledge of the perturbation source; it trains and detects perturbations under broad waveform and spectrogram constraints. The adversarial loss is</w:t>
      </w:r>
    </w:p>
    <w:p>
      <w:pPr>
        <w:pStyle w:val="BodyText"/>
      </w:pPr>
    </w:p>
    <w:p>
      <w:pPr>
        <w:pStyle w:val="BodyText"/>
      </w:pPr>
      <w:r>
        <w:t xml:space="preserve">The inner maximization can be approximated by FGSM or PGD attacks in waveform or spectrogram space. The detector uses feature-space Mahalanobis distance, reconstruction error and spectral-statistical inconsistency. Calibration is encouraged by a Brier or expected-calibration-error-inspired objective:</w:t>
      </w:r>
    </w:p>
    <w:p>
      <w:pPr>
        <w:pStyle w:val="BodyText"/>
      </w:pPr>
    </w:p>
    <w:bookmarkEnd w:id="46"/>
    <w:bookmarkStart w:id="47" w:name="X6d0a13f121ba1f9b89efc517378a4b37aa54547"/>
    <w:p>
      <w:pPr>
        <w:pStyle w:val="Heading2"/>
      </w:pPr>
      <w:r>
        <w:t xml:space="preserve">3.11. Overall objective: seven loss functions and coefficient selection</w:t>
      </w:r>
    </w:p>
    <w:p>
      <w:pPr>
        <w:pStyle w:val="FirstParagraph"/>
      </w:pPr>
      <w:r>
        <w:t xml:space="preserve">The final training loss integrates seven functions: supervised classification, contrastive learning, episodic meta-learning, domain alignment, adversarial robustness, calibration and explanation consistency:</w:t>
      </w:r>
    </w:p>
    <w:p>
      <w:pPr>
        <w:pStyle w:val="BodyText"/>
      </w:pPr>
    </w:p>
    <w:p>
      <w:pPr>
        <w:pStyle w:val="BodyText"/>
      </w:pPr>
      <w:r>
        <w:t xml:space="preserve">Table 3. Detailed definition of the seven loss functions in Eq. (15).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Loss</w:t>
            </w:r>
          </w:p>
        </w:tc>
        <w:tc>
          <w:tcPr/>
          <w:p>
            <w:pPr>
              <w:pStyle w:val="Compact"/>
              <w:jc w:val="left"/>
            </w:pPr>
            <w:r>
              <w:t xml:space="preserve">Definition</w:t>
            </w:r>
          </w:p>
        </w:tc>
        <w:tc>
          <w:tcPr/>
          <w:p>
            <w:pPr>
              <w:pStyle w:val="Compact"/>
              <w:jc w:val="left"/>
            </w:pPr>
            <w:r>
              <w:t xml:space="preserve">Function in MAIR-UATR</w:t>
            </w:r>
          </w:p>
        </w:tc>
      </w:tr>
      <w:tr>
        <w:tc>
          <w:tcPr/>
          <w:p>
            <w:pPr>
              <w:pStyle w:val="Compact"/>
              <w:jc w:val="left"/>
            </w:pPr>
            <m:oMath>
              <m:sSub>
                <m:e>
                  <m:r>
                    <m:rPr>
                      <m:sty m:val="p"/>
                      <m:scr m:val="script"/>
                    </m:rPr>
                    <m:t>L</m:t>
                  </m:r>
                </m:e>
                <m:sub>
                  <m:r>
                    <m:rPr>
                      <m:sty m:val="p"/>
                    </m:rPr>
                    <m:t>C</m:t>
                  </m:r>
                  <m:r>
                    <m:rPr>
                      <m:sty m:val="p"/>
                    </m:rPr>
                    <m:t>E</m:t>
                  </m:r>
                </m:sub>
              </m:sSub>
            </m:oMath>
          </w:p>
        </w:tc>
        <w:tc>
          <w:tcPr/>
          <w:p>
            <w:pPr>
              <w:pStyle w:val="Compact"/>
              <w:jc w:val="left"/>
            </w:pPr>
            <w:r>
              <w:t xml:space="preserve">Cross-entropy on labeled source and target support data.</w:t>
            </w:r>
          </w:p>
        </w:tc>
        <w:tc>
          <w:tcPr/>
          <w:p>
            <w:pPr>
              <w:pStyle w:val="Compact"/>
              <w:jc w:val="left"/>
            </w:pPr>
            <w:r>
              <w:t xml:space="preserve">Learns the main supervised classifier.</w:t>
            </w:r>
          </w:p>
        </w:tc>
      </w:tr>
      <w:tr>
        <w:tc>
          <w:tcPr/>
          <w:p>
            <w:pPr>
              <w:pStyle w:val="Compact"/>
              <w:jc w:val="left"/>
            </w:pPr>
            <m:oMath>
              <m:sSub>
                <m:e>
                  <m:r>
                    <m:rPr>
                      <m:sty m:val="p"/>
                      <m:scr m:val="script"/>
                    </m:rPr>
                    <m:t>L</m:t>
                  </m:r>
                </m:e>
                <m:sub>
                  <m:r>
                    <m:rPr>
                      <m:sty m:val="p"/>
                    </m:rPr>
                    <m:t>C</m:t>
                  </m:r>
                  <m:r>
                    <m:rPr>
                      <m:sty m:val="p"/>
                    </m:rPr>
                    <m:t>L</m:t>
                  </m:r>
                </m:sub>
              </m:sSub>
            </m:oMath>
          </w:p>
        </w:tc>
        <w:tc>
          <w:tcPr/>
          <w:p>
            <w:pPr>
              <w:pStyle w:val="Compact"/>
              <w:jc w:val="left"/>
            </w:pPr>
            <w:r>
              <w:t xml:space="preserve">InfoNCE contrastive loss in Eq. (4).</w:t>
            </w:r>
          </w:p>
        </w:tc>
        <w:tc>
          <w:tcPr/>
          <w:p>
            <w:pPr>
              <w:pStyle w:val="Compact"/>
              <w:jc w:val="left"/>
            </w:pPr>
            <w:r>
              <w:t xml:space="preserve">Learns label-efficient and noise-stable embeddings from unlabeled audio.</w:t>
            </w:r>
          </w:p>
        </w:tc>
      </w:tr>
      <w:tr>
        <w:tc>
          <w:tcPr/>
          <w:p>
            <w:pPr>
              <w:pStyle w:val="Compact"/>
              <w:jc w:val="left"/>
            </w:pPr>
            <m:oMath>
              <m:sSub>
                <m:e>
                  <m:r>
                    <m:rPr>
                      <m:sty m:val="p"/>
                      <m:scr m:val="script"/>
                    </m:rPr>
                    <m:t>L</m:t>
                  </m:r>
                </m:e>
                <m:sub>
                  <m:r>
                    <m:rPr>
                      <m:sty m:val="p"/>
                    </m:rPr>
                    <m:t>e</m:t>
                  </m:r>
                  <m:r>
                    <m:rPr>
                      <m:sty m:val="p"/>
                    </m:rPr>
                    <m:t>p</m:t>
                  </m:r>
                  <m:r>
                    <m:rPr>
                      <m:sty m:val="p"/>
                    </m:rPr>
                    <m:t>i</m:t>
                  </m:r>
                </m:sub>
              </m:sSub>
            </m:oMath>
          </w:p>
        </w:tc>
        <w:tc>
          <w:tcPr/>
          <w:p>
            <w:pPr>
              <w:pStyle w:val="Compact"/>
              <w:jc w:val="left"/>
            </w:pPr>
            <w:r>
              <w:t xml:space="preserve">Query-set episodic loss in Eq. (8).</w:t>
            </w:r>
          </w:p>
        </w:tc>
        <w:tc>
          <w:tcPr/>
          <w:p>
            <w:pPr>
              <w:pStyle w:val="Compact"/>
              <w:jc w:val="left"/>
            </w:pPr>
            <w:r>
              <w:t xml:space="preserve">Improves few-shot adaptation to new targets and SNR conditions.</w:t>
            </w:r>
          </w:p>
        </w:tc>
      </w:tr>
      <w:tr>
        <w:tc>
          <w:tcPr/>
          <w:p>
            <w:pPr>
              <w:pStyle w:val="Compact"/>
              <w:jc w:val="left"/>
            </w:pPr>
            <m:oMath>
              <m:sSub>
                <m:e>
                  <m:r>
                    <m:rPr>
                      <m:sty m:val="p"/>
                      <m:scr m:val="script"/>
                    </m:rPr>
                    <m:t>L</m:t>
                  </m:r>
                </m:e>
                <m:sub>
                  <m:r>
                    <m:rPr>
                      <m:sty m:val="p"/>
                    </m:rPr>
                    <m:t>a</m:t>
                  </m:r>
                  <m:r>
                    <m:rPr>
                      <m:sty m:val="p"/>
                    </m:rPr>
                    <m:t>l</m:t>
                  </m:r>
                  <m:r>
                    <m:rPr>
                      <m:sty m:val="p"/>
                    </m:rPr>
                    <m:t>i</m:t>
                  </m:r>
                  <m:r>
                    <m:rPr>
                      <m:sty m:val="p"/>
                    </m:rPr>
                    <m:t>g</m:t>
                  </m:r>
                  <m:r>
                    <m:rPr>
                      <m:sty m:val="p"/>
                    </m:rPr>
                    <m:t>n</m:t>
                  </m:r>
                </m:sub>
              </m:sSub>
            </m:oMath>
          </w:p>
        </w:tc>
        <w:tc>
          <w:tcPr/>
          <w:p>
            <w:pPr>
              <w:pStyle w:val="Compact"/>
              <w:jc w:val="left"/>
            </w:pPr>
            <w:r>
              <w:t xml:space="preserve">MMD plus covariance alignment in Eq. (10).</w:t>
            </w:r>
          </w:p>
        </w:tc>
        <w:tc>
          <w:tcPr/>
          <w:p>
            <w:pPr>
              <w:pStyle w:val="Compact"/>
              <w:jc w:val="left"/>
            </w:pPr>
            <w:r>
              <w:t xml:space="preserve">Reduces sea-area, sensor and operating-condition mismatch.</w:t>
            </w:r>
          </w:p>
        </w:tc>
      </w:tr>
      <w:tr>
        <w:tc>
          <w:tcPr/>
          <w:p>
            <w:pPr>
              <w:pStyle w:val="Compact"/>
              <w:jc w:val="left"/>
            </w:pPr>
            <m:oMath>
              <m:sSub>
                <m:e>
                  <m:r>
                    <m:rPr>
                      <m:sty m:val="p"/>
                      <m:scr m:val="script"/>
                    </m:rPr>
                    <m:t>L</m:t>
                  </m:r>
                </m:e>
                <m:sub>
                  <m:r>
                    <m:rPr>
                      <m:sty m:val="p"/>
                    </m:rPr>
                    <m:t>a</m:t>
                  </m:r>
                  <m:r>
                    <m:rPr>
                      <m:sty m:val="p"/>
                    </m:rPr>
                    <m:t>d</m:t>
                  </m:r>
                  <m:r>
                    <m:rPr>
                      <m:sty m:val="p"/>
                    </m:rPr>
                    <m:t>v</m:t>
                  </m:r>
                </m:sub>
              </m:sSub>
            </m:oMath>
          </w:p>
        </w:tc>
        <w:tc>
          <w:tcPr/>
          <w:p>
            <w:pPr>
              <w:pStyle w:val="Compact"/>
              <w:jc w:val="left"/>
            </w:pPr>
            <w:r>
              <w:t xml:space="preserve">Min-max adversarial loss in Eq. (13).</w:t>
            </w:r>
          </w:p>
        </w:tc>
        <w:tc>
          <w:tcPr/>
          <w:p>
            <w:pPr>
              <w:pStyle w:val="Compact"/>
              <w:jc w:val="left"/>
            </w:pPr>
            <w:r>
              <w:t xml:space="preserve">Improves robust accuracy under waveform/spectrogram perturbations.</w:t>
            </w:r>
          </w:p>
        </w:tc>
      </w:tr>
      <w:tr>
        <w:tc>
          <w:tcPr/>
          <w:p>
            <w:pPr>
              <w:pStyle w:val="Compact"/>
              <w:jc w:val="left"/>
            </w:pPr>
            <m:oMath>
              <m:sSub>
                <m:e>
                  <m:r>
                    <m:rPr>
                      <m:sty m:val="p"/>
                      <m:scr m:val="script"/>
                    </m:rPr>
                    <m:t>L</m:t>
                  </m:r>
                </m:e>
                <m:sub>
                  <m:r>
                    <m:rPr>
                      <m:sty m:val="p"/>
                    </m:rPr>
                    <m:t>c</m:t>
                  </m:r>
                  <m:r>
                    <m:rPr>
                      <m:sty m:val="p"/>
                    </m:rPr>
                    <m:t>a</m:t>
                  </m:r>
                  <m:r>
                    <m:rPr>
                      <m:sty m:val="p"/>
                    </m:rPr>
                    <m:t>l</m:t>
                  </m:r>
                </m:sub>
              </m:sSub>
            </m:oMath>
          </w:p>
        </w:tc>
        <w:tc>
          <w:tcPr/>
          <w:p>
            <w:pPr>
              <w:pStyle w:val="Compact"/>
              <w:jc w:val="left"/>
            </w:pPr>
            <w:r>
              <w:t xml:space="preserve">Calibration loss in Eq. (14).</w:t>
            </w:r>
          </w:p>
        </w:tc>
        <w:tc>
          <w:tcPr/>
          <w:p>
            <w:pPr>
              <w:pStyle w:val="Compact"/>
              <w:jc w:val="left"/>
            </w:pPr>
            <w:r>
              <w:t xml:space="preserve">Reduces overconfidence under noise and adversarial inputs.</w:t>
            </w:r>
          </w:p>
        </w:tc>
      </w:tr>
      <w:tr>
        <w:tc>
          <w:tcPr/>
          <w:p>
            <w:pPr>
              <w:pStyle w:val="Compact"/>
              <w:jc w:val="left"/>
            </w:pPr>
            <m:oMath>
              <m:sSub>
                <m:e>
                  <m:r>
                    <m:rPr>
                      <m:sty m:val="p"/>
                      <m:scr m:val="script"/>
                    </m:rPr>
                    <m:t>L</m:t>
                  </m:r>
                </m:e>
                <m:sub>
                  <m:r>
                    <m:rPr>
                      <m:sty m:val="p"/>
                    </m:rPr>
                    <m:t>e</m:t>
                  </m:r>
                  <m:r>
                    <m:rPr>
                      <m:sty m:val="p"/>
                    </m:rPr>
                    <m:t>x</m:t>
                  </m:r>
                  <m:r>
                    <m:rPr>
                      <m:sty m:val="p"/>
                    </m:rPr>
                    <m:t>p</m:t>
                  </m:r>
                </m:sub>
              </m:sSub>
            </m:oMath>
          </w:p>
        </w:tc>
        <w:tc>
          <w:tcPr/>
          <w:p>
            <w:pPr>
              <w:pStyle w:val="Compact"/>
              <w:jc w:val="left"/>
            </w:pPr>
            <w:r>
              <w:t xml:space="preserve">Explanation-consistency loss in Eq. (12).</w:t>
            </w:r>
          </w:p>
        </w:tc>
        <w:tc>
          <w:tcPr/>
          <w:p>
            <w:pPr>
              <w:pStyle w:val="Compact"/>
              <w:jc w:val="left"/>
            </w:pPr>
            <w:r>
              <w:t xml:space="preserve">Encourages reliance on salient acoustic evidence.</w:t>
            </w:r>
          </w:p>
        </w:tc>
      </w:tr>
    </w:tbl>
    <w:p>
      <w:pPr>
        <w:pStyle w:val="BodyText"/>
      </w:pPr>
      <w:r>
        <w:t xml:space="preserve">The loss coefficients</w:t>
      </w:r>
      <w:r>
        <w:t xml:space="preserve"> </w:t>
      </w:r>
      <m:oMath>
        <m:sSub>
          <m:e>
            <m:r>
              <m:t>λ</m:t>
            </m:r>
          </m:e>
          <m:sub>
            <m:r>
              <m:t>i</m:t>
            </m:r>
          </m:sub>
        </m:sSub>
      </m:oMath>
      <w:r>
        <w:t xml:space="preserve"> </w:t>
      </w:r>
      <w:r>
        <w:t xml:space="preserve">are determined in three steps. First, each auxiliary loss is normalized by an exponential moving average of its magnitude during a warm-up period so that no single loss dominates only because of scale. Second, a small validation grid is used:</w:t>
      </w:r>
      <w:r>
        <w:t xml:space="preserve"> </w:t>
      </w:r>
      <m:oMath>
        <m:sSub>
          <m:e>
            <m:r>
              <m:t>λ</m:t>
            </m:r>
          </m:e>
          <m:sub>
            <m:r>
              <m:t>i</m:t>
            </m:r>
          </m:sub>
        </m:sSub>
        <m:r>
          <m:rPr>
            <m:sty m:val="p"/>
          </m:rPr>
          <m:t>∈</m:t>
        </m:r>
        <m:r>
          <m:rPr>
            <m:sty m:val="p"/>
          </m:rPr>
          <m:t>{</m:t>
        </m:r>
        <m:r>
          <m:t>0</m:t>
        </m:r>
        <m:r>
          <m:rPr>
            <m:sty m:val="p"/>
          </m:rPr>
          <m:t>,</m:t>
        </m:r>
        <m:r>
          <m:t>0.05</m:t>
        </m:r>
        <m:r>
          <m:rPr>
            <m:sty m:val="p"/>
          </m:rPr>
          <m:t>,</m:t>
        </m:r>
        <m:r>
          <m:t>0.1</m:t>
        </m:r>
        <m:r>
          <m:rPr>
            <m:sty m:val="p"/>
          </m:rPr>
          <m:t>,</m:t>
        </m:r>
        <m:r>
          <m:t>0.2</m:t>
        </m:r>
        <m:r>
          <m:rPr>
            <m:sty m:val="p"/>
          </m:rPr>
          <m:t>,</m:t>
        </m:r>
        <m:r>
          <m:t>0.5</m:t>
        </m:r>
        <m:r>
          <m:rPr>
            <m:sty m:val="p"/>
          </m:rPr>
          <m:t>,</m:t>
        </m:r>
        <m:r>
          <m:t>1.0</m:t>
        </m:r>
        <m:r>
          <m:rPr>
            <m:sty m:val="p"/>
          </m:rPr>
          <m:t>}</m:t>
        </m:r>
      </m:oMath>
      <w:r>
        <w:t xml:space="preserve"> </w:t>
      </w:r>
      <w:r>
        <w:t xml:space="preserve">for one auxiliary group at a time while keeping other coefficients fixed. Third, the final vector is selected by a multi-objective validation score:</w:t>
      </w:r>
    </w:p>
    <w:p>
      <w:pPr>
        <w:pStyle w:val="BodyText"/>
      </w:pPr>
    </w:p>
    <w:p>
      <w:pPr>
        <w:pStyle w:val="BodyText"/>
      </w:pPr>
      <w:r>
        <w:t xml:space="preserve">A practical default setting for initial experiments is</w:t>
      </w:r>
      <w:r>
        <w:t xml:space="preserve"> </w:t>
      </w:r>
      <m:oMath>
        <m:sSub>
          <m:e>
            <m:r>
              <m:t>λ</m:t>
            </m:r>
          </m:e>
          <m:sub>
            <m:r>
              <m:t>1</m:t>
            </m:r>
          </m:sub>
        </m:sSub>
        <m:r>
          <m:rPr>
            <m:sty m:val="p"/>
          </m:rPr>
          <m:t>=</m:t>
        </m:r>
        <m:r>
          <m:t>0.2</m:t>
        </m:r>
      </m:oMath>
      <w:r>
        <w:t xml:space="preserve">,</w:t>
      </w:r>
      <w:r>
        <w:t xml:space="preserve"> </w:t>
      </w:r>
      <m:oMath>
        <m:sSub>
          <m:e>
            <m:r>
              <m:t>λ</m:t>
            </m:r>
          </m:e>
          <m:sub>
            <m:r>
              <m:t>2</m:t>
            </m:r>
          </m:sub>
        </m:sSub>
        <m:r>
          <m:rPr>
            <m:sty m:val="p"/>
          </m:rPr>
          <m:t>=</m:t>
        </m:r>
        <m:r>
          <m:t>0.5</m:t>
        </m:r>
      </m:oMath>
      <w:r>
        <w:t xml:space="preserve">,</w:t>
      </w:r>
      <w:r>
        <w:t xml:space="preserve"> </w:t>
      </w:r>
      <m:oMath>
        <m:sSub>
          <m:e>
            <m:r>
              <m:t>λ</m:t>
            </m:r>
          </m:e>
          <m:sub>
            <m:r>
              <m:t>3</m:t>
            </m:r>
          </m:sub>
        </m:sSub>
        <m:r>
          <m:rPr>
            <m:sty m:val="p"/>
          </m:rPr>
          <m:t>=</m:t>
        </m:r>
        <m:r>
          <m:t>0.1</m:t>
        </m:r>
      </m:oMath>
      <w:r>
        <w:t xml:space="preserve">,</w:t>
      </w:r>
      <w:r>
        <w:t xml:space="preserve"> </w:t>
      </w:r>
      <m:oMath>
        <m:sSub>
          <m:e>
            <m:r>
              <m:t>λ</m:t>
            </m:r>
          </m:e>
          <m:sub>
            <m:r>
              <m:t>4</m:t>
            </m:r>
          </m:sub>
        </m:sSub>
        <m:r>
          <m:rPr>
            <m:sty m:val="p"/>
          </m:rPr>
          <m:t>=</m:t>
        </m:r>
        <m:r>
          <m:t>0.3</m:t>
        </m:r>
      </m:oMath>
      <w:r>
        <w:t xml:space="preserve">,</w:t>
      </w:r>
      <w:r>
        <w:t xml:space="preserve"> </w:t>
      </w:r>
      <m:oMath>
        <m:sSub>
          <m:e>
            <m:r>
              <m:t>λ</m:t>
            </m:r>
          </m:e>
          <m:sub>
            <m:r>
              <m:t>5</m:t>
            </m:r>
          </m:sub>
        </m:sSub>
        <m:r>
          <m:rPr>
            <m:sty m:val="p"/>
          </m:rPr>
          <m:t>=</m:t>
        </m:r>
        <m:r>
          <m:t>0.05</m:t>
        </m:r>
      </m:oMath>
      <w:r>
        <w:t xml:space="preserve"> </w:t>
      </w:r>
      <w:r>
        <w:t xml:space="preserve">and</w:t>
      </w:r>
      <w:r>
        <w:t xml:space="preserve"> </w:t>
      </w:r>
      <m:oMath>
        <m:sSub>
          <m:e>
            <m:r>
              <m:t>λ</m:t>
            </m:r>
          </m:e>
          <m:sub>
            <m:r>
              <m:t>6</m:t>
            </m:r>
          </m:sub>
        </m:sSub>
        <m:r>
          <m:rPr>
            <m:sty m:val="p"/>
          </m:rPr>
          <m:t>=</m:t>
        </m:r>
        <m:r>
          <m:t>0.05</m:t>
        </m:r>
      </m:oMath>
      <w:r>
        <w:t xml:space="preserve">. These values should be tuned on a vessel-disjoint validation set, not on the test set.</w:t>
      </w:r>
    </w:p>
    <w:bookmarkEnd w:id="47"/>
    <w:bookmarkStart w:id="48" w:name="detailed-training-algorithm-of-mair-uatr"/>
    <w:p>
      <w:pPr>
        <w:pStyle w:val="Heading2"/>
      </w:pPr>
      <w:r>
        <w:t xml:space="preserve">3.12. Detailed training algorithm of MAIR-UATR</w:t>
      </w:r>
    </w:p>
    <w:p>
      <w:pPr>
        <w:pStyle w:val="FirstParagraph"/>
      </w:pPr>
      <w:r>
        <w:t xml:space="preserve">Table 4. Detailed training algorithm.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Training operation</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Collect labeled and unlabeled hydrophone recordings; record dataset, vessel, sea-area and sensor metadata when available.</w:t>
            </w:r>
          </w:p>
        </w:tc>
        <w:tc>
          <w:tcPr/>
          <w:p>
            <w:pPr>
              <w:pStyle w:val="Compact"/>
              <w:jc w:val="left"/>
            </w:pPr>
            <w:r>
              <w:t xml:space="preserve">Data registry and split plan.</w:t>
            </w:r>
          </w:p>
        </w:tc>
      </w:tr>
      <w:tr>
        <w:tc>
          <w:tcPr/>
          <w:p>
            <w:pPr>
              <w:pStyle w:val="Compact"/>
              <w:jc w:val="left"/>
            </w:pPr>
            <w:r>
              <w:t xml:space="preserve">2</w:t>
            </w:r>
          </w:p>
        </w:tc>
        <w:tc>
          <w:tcPr/>
          <w:p>
            <w:pPr>
              <w:pStyle w:val="Compact"/>
              <w:jc w:val="left"/>
            </w:pPr>
            <w:r>
              <w:t xml:space="preserve">Resample, filter, denoise, segment and normalize waveforms.</w:t>
            </w:r>
          </w:p>
        </w:tc>
        <w:tc>
          <w:tcPr/>
          <w:p>
            <w:pPr>
              <w:pStyle w:val="Compact"/>
              <w:jc w:val="left"/>
            </w:pPr>
            <w:r>
              <w:t xml:space="preserve">Clean waveform segments.</w:t>
            </w:r>
          </w:p>
        </w:tc>
      </w:tr>
      <w:tr>
        <w:tc>
          <w:tcPr/>
          <w:p>
            <w:pPr>
              <w:pStyle w:val="Compact"/>
              <w:jc w:val="left"/>
            </w:pPr>
            <w:r>
              <w:t xml:space="preserve">3</w:t>
            </w:r>
          </w:p>
        </w:tc>
        <w:tc>
          <w:tcPr/>
          <w:p>
            <w:pPr>
              <w:pStyle w:val="Compact"/>
              <w:jc w:val="left"/>
            </w:pPr>
            <w:r>
              <w:t xml:space="preserve">Generate STFT, Mel, CQT, GFCC and DEMON/LOFAR views; apply acoustic augmentations.</w:t>
            </w:r>
          </w:p>
        </w:tc>
        <w:tc>
          <w:tcPr/>
          <w:p>
            <w:pPr>
              <w:pStyle w:val="Compact"/>
              <w:jc w:val="left"/>
            </w:pPr>
            <w:r>
              <w:t xml:space="preserve">Multi-view tensors.</w:t>
            </w:r>
          </w:p>
        </w:tc>
      </w:tr>
      <w:tr>
        <w:tc>
          <w:tcPr/>
          <w:p>
            <w:pPr>
              <w:pStyle w:val="Compact"/>
              <w:jc w:val="left"/>
            </w:pPr>
            <w:r>
              <w:t xml:space="preserve">4</w:t>
            </w:r>
          </w:p>
        </w:tc>
        <w:tc>
          <w:tcPr/>
          <w:p>
            <w:pPr>
              <w:pStyle w:val="Compact"/>
              <w:jc w:val="left"/>
            </w:pPr>
            <w:r>
              <w:t xml:space="preserve">Pretrain the encoder using InfoNCE and masked token modeling on unlabeled data.</w:t>
            </w:r>
          </w:p>
        </w:tc>
        <w:tc>
          <w:tcPr/>
          <w:p>
            <w:pPr>
              <w:pStyle w:val="Compact"/>
              <w:jc w:val="left"/>
            </w:pPr>
            <w:r>
              <w:t xml:space="preserve">General acoustic backbone.</w:t>
            </w:r>
          </w:p>
        </w:tc>
      </w:tr>
      <w:tr>
        <w:tc>
          <w:tcPr/>
          <w:p>
            <w:pPr>
              <w:pStyle w:val="Compact"/>
              <w:jc w:val="left"/>
            </w:pPr>
            <w:r>
              <w:t xml:space="preserve">5</w:t>
            </w:r>
          </w:p>
        </w:tc>
        <w:tc>
          <w:tcPr/>
          <w:p>
            <w:pPr>
              <w:pStyle w:val="Compact"/>
              <w:jc w:val="left"/>
            </w:pPr>
            <w:r>
              <w:t xml:space="preserve">Fine-tune the classifier with supervised cross-entropy on labeled source data.</w:t>
            </w:r>
          </w:p>
        </w:tc>
        <w:tc>
          <w:tcPr/>
          <w:p>
            <w:pPr>
              <w:pStyle w:val="Compact"/>
              <w:jc w:val="left"/>
            </w:pPr>
            <w:r>
              <w:t xml:space="preserve">Initial UATR classifier.</w:t>
            </w:r>
          </w:p>
        </w:tc>
      </w:tr>
      <w:tr>
        <w:tc>
          <w:tcPr/>
          <w:p>
            <w:pPr>
              <w:pStyle w:val="Compact"/>
              <w:jc w:val="left"/>
            </w:pPr>
            <w:r>
              <w:t xml:space="preserve">6</w:t>
            </w:r>
          </w:p>
        </w:tc>
        <w:tc>
          <w:tcPr/>
          <w:p>
            <w:pPr>
              <w:pStyle w:val="Compact"/>
              <w:jc w:val="left"/>
            </w:pPr>
            <w:r>
              <w:t xml:space="preserve">Train N-way K-shot episodes with SNR-aware support/query splits.</w:t>
            </w:r>
          </w:p>
        </w:tc>
        <w:tc>
          <w:tcPr/>
          <w:p>
            <w:pPr>
              <w:pStyle w:val="Compact"/>
              <w:jc w:val="left"/>
            </w:pPr>
            <w:r>
              <w:t xml:space="preserve">Meta-adaptive embedding space.</w:t>
            </w:r>
          </w:p>
        </w:tc>
      </w:tr>
      <w:tr>
        <w:tc>
          <w:tcPr/>
          <w:p>
            <w:pPr>
              <w:pStyle w:val="Compact"/>
              <w:jc w:val="left"/>
            </w:pPr>
            <w:r>
              <w:t xml:space="preserve">7</w:t>
            </w:r>
          </w:p>
        </w:tc>
        <w:tc>
          <w:tcPr/>
          <w:p>
            <w:pPr>
              <w:pStyle w:val="Compact"/>
              <w:jc w:val="left"/>
            </w:pPr>
            <w:r>
              <w:t xml:space="preserve">Insert LoRA, QLoRA or adapter modules; freeze the backbone; adapt with domain tokens and alignment loss.</w:t>
            </w:r>
          </w:p>
        </w:tc>
        <w:tc>
          <w:tcPr/>
          <w:p>
            <w:pPr>
              <w:pStyle w:val="Compact"/>
              <w:jc w:val="left"/>
            </w:pPr>
            <w:r>
              <w:t xml:space="preserve">Domain-adapted PEFT modules.</w:t>
            </w:r>
          </w:p>
        </w:tc>
      </w:tr>
      <w:tr>
        <w:tc>
          <w:tcPr/>
          <w:p>
            <w:pPr>
              <w:pStyle w:val="Compact"/>
              <w:jc w:val="left"/>
            </w:pPr>
            <w:r>
              <w:t xml:space="preserve">8</w:t>
            </w:r>
          </w:p>
        </w:tc>
        <w:tc>
          <w:tcPr/>
          <w:p>
            <w:pPr>
              <w:pStyle w:val="Compact"/>
              <w:jc w:val="left"/>
            </w:pPr>
            <w:r>
              <w:t xml:space="preserve">Generate FGSM/PGD perturbations; train robust classifier and adversarial detector.</w:t>
            </w:r>
          </w:p>
        </w:tc>
        <w:tc>
          <w:tcPr/>
          <w:p>
            <w:pPr>
              <w:pStyle w:val="Compact"/>
              <w:jc w:val="left"/>
            </w:pPr>
            <w:r>
              <w:t xml:space="preserve">Robust receiver-side model.</w:t>
            </w:r>
          </w:p>
        </w:tc>
      </w:tr>
      <w:tr>
        <w:tc>
          <w:tcPr/>
          <w:p>
            <w:pPr>
              <w:pStyle w:val="Compact"/>
              <w:jc w:val="left"/>
            </w:pPr>
            <w:r>
              <w:t xml:space="preserve">9</w:t>
            </w:r>
          </w:p>
        </w:tc>
        <w:tc>
          <w:tcPr/>
          <w:p>
            <w:pPr>
              <w:pStyle w:val="Compact"/>
              <w:jc w:val="left"/>
            </w:pPr>
            <w:r>
              <w:t xml:space="preserve">Apply calibration and explanation-consistency losses; validate on vessel-disjoint and sea-area-disjoint splits.</w:t>
            </w:r>
          </w:p>
        </w:tc>
        <w:tc>
          <w:tcPr/>
          <w:p>
            <w:pPr>
              <w:pStyle w:val="Compact"/>
              <w:jc w:val="left"/>
            </w:pPr>
            <w:r>
              <w:t xml:space="preserve">Selected model and coefficients.</w:t>
            </w:r>
          </w:p>
        </w:tc>
      </w:tr>
      <w:tr>
        <w:tc>
          <w:tcPr/>
          <w:p>
            <w:pPr>
              <w:pStyle w:val="Compact"/>
              <w:jc w:val="left"/>
            </w:pPr>
            <w:r>
              <w:t xml:space="preserve">10</w:t>
            </w:r>
          </w:p>
        </w:tc>
        <w:tc>
          <w:tcPr/>
          <w:p>
            <w:pPr>
              <w:pStyle w:val="Compact"/>
              <w:jc w:val="left"/>
            </w:pPr>
            <w:r>
              <w:t xml:space="preserve">Output class prediction, confidence, Grad-CAM map, t-SNE diagnostics and attack/OOD alarm.</w:t>
            </w:r>
          </w:p>
        </w:tc>
        <w:tc>
          <w:tcPr/>
          <w:p>
            <w:pPr>
              <w:pStyle w:val="Compact"/>
              <w:jc w:val="left"/>
            </w:pPr>
            <w:r>
              <w:t xml:space="preserve">Deployable UATR report.</w:t>
            </w:r>
          </w:p>
        </w:tc>
      </w:tr>
    </w:tbl>
    <w:p>
      <w:pPr>
        <w:pStyle w:val="BodyText"/>
      </w:pPr>
      <w:r>
        <w:t xml:space="preserve">Algorithm 1 summarizes the training loop.</w:t>
      </w:r>
    </w:p>
    <w:p>
      <w:pPr>
        <w:pStyle w:val="SourceCode"/>
      </w:pPr>
      <w:r>
        <w:rPr>
          <w:rStyle w:val="VerbatimChar"/>
        </w:rPr>
        <w:t xml:space="preserve">Algorithm 1: MAIR-UATR training</w:t>
      </w:r>
      <w:r>
        <w:br/>
      </w:r>
      <w:r>
        <w:rPr>
          <w:rStyle w:val="VerbatimChar"/>
        </w:rPr>
        <w:t xml:space="preserve">Input: labeled source data Ds, optional labeled target support Dt, unlabeled audio U</w:t>
      </w:r>
      <w:r>
        <w:br/>
      </w:r>
      <w:r>
        <w:rPr>
          <w:rStyle w:val="VerbatimChar"/>
        </w:rPr>
        <w:t xml:space="preserve">Output: trained backbone, PEFT modules, classifier, detector and explanation module</w:t>
      </w:r>
      <w:r>
        <w:br/>
      </w:r>
      <w:r>
        <w:rPr>
          <w:rStyle w:val="VerbatimChar"/>
        </w:rPr>
        <w:t xml:space="preserve">1. Build acoustic segments and multi-view tensors from Ds, Dt and U.</w:t>
      </w:r>
      <w:r>
        <w:br/>
      </w:r>
      <w:r>
        <w:rPr>
          <w:rStyle w:val="VerbatimChar"/>
        </w:rPr>
        <w:t xml:space="preserve">2. for each self-supervised epoch do</w:t>
      </w:r>
      <w:r>
        <w:br/>
      </w:r>
      <w:r>
        <w:rPr>
          <w:rStyle w:val="VerbatimChar"/>
        </w:rPr>
        <w:t xml:space="preserve">3.     sample unlabeled mini-batch from U;</w:t>
      </w:r>
      <w:r>
        <w:br/>
      </w:r>
      <w:r>
        <w:rPr>
          <w:rStyle w:val="VerbatimChar"/>
        </w:rPr>
        <w:t xml:space="preserve">4.     create two augmentations and masked-token inputs;</w:t>
      </w:r>
      <w:r>
        <w:br/>
      </w:r>
      <w:r>
        <w:rPr>
          <w:rStyle w:val="VerbatimChar"/>
        </w:rPr>
        <w:t xml:space="preserve">5.     update encoder using L_CL + L_MTM.</w:t>
      </w:r>
      <w:r>
        <w:br/>
      </w:r>
      <w:r>
        <w:rPr>
          <w:rStyle w:val="VerbatimChar"/>
        </w:rPr>
        <w:t xml:space="preserve">6. end for</w:t>
      </w:r>
      <w:r>
        <w:br/>
      </w:r>
      <w:r>
        <w:rPr>
          <w:rStyle w:val="VerbatimChar"/>
        </w:rPr>
        <w:t xml:space="preserve">7. Initialize classifier and PEFT modules.</w:t>
      </w:r>
      <w:r>
        <w:br/>
      </w:r>
      <w:r>
        <w:rPr>
          <w:rStyle w:val="VerbatimChar"/>
        </w:rPr>
        <w:t xml:space="preserve">8. for each supervised/meta-adaptive epoch do</w:t>
      </w:r>
      <w:r>
        <w:br/>
      </w:r>
      <w:r>
        <w:rPr>
          <w:rStyle w:val="VerbatimChar"/>
        </w:rPr>
        <w:t xml:space="preserve">9.     sample labeled mini-batch and N-way K-shot acoustic episodes;</w:t>
      </w:r>
      <w:r>
        <w:br/>
      </w:r>
      <w:r>
        <w:rPr>
          <w:rStyle w:val="VerbatimChar"/>
        </w:rPr>
        <w:t xml:space="preserve">10.    compute L_CE and L_epi;</w:t>
      </w:r>
      <w:r>
        <w:br/>
      </w:r>
      <w:r>
        <w:rPr>
          <w:rStyle w:val="VerbatimChar"/>
        </w:rPr>
        <w:t xml:space="preserve">11.    sample source-target mini-batches and compute L_align;</w:t>
      </w:r>
      <w:r>
        <w:br/>
      </w:r>
      <w:r>
        <w:rPr>
          <w:rStyle w:val="VerbatimChar"/>
        </w:rPr>
        <w:t xml:space="preserve">12.    generate FGSM/PGD examples and compute L_adv;</w:t>
      </w:r>
      <w:r>
        <w:br/>
      </w:r>
      <w:r>
        <w:rPr>
          <w:rStyle w:val="VerbatimChar"/>
        </w:rPr>
        <w:t xml:space="preserve">13.    compute L_cal and L_exp using confidence and Grad-CAM masks;</w:t>
      </w:r>
      <w:r>
        <w:br/>
      </w:r>
      <w:r>
        <w:rPr>
          <w:rStyle w:val="VerbatimChar"/>
        </w:rPr>
        <w:t xml:space="preserve">14.    update trainable parameters using L_total;</w:t>
      </w:r>
      <w:r>
        <w:br/>
      </w:r>
      <w:r>
        <w:rPr>
          <w:rStyle w:val="VerbatimChar"/>
        </w:rPr>
        <w:t xml:space="preserve">15.    tune lambda values on vessel-disjoint validation score J.</w:t>
      </w:r>
      <w:r>
        <w:br/>
      </w:r>
      <w:r>
        <w:rPr>
          <w:rStyle w:val="VerbatimChar"/>
        </w:rPr>
        <w:t xml:space="preserve">16. end for</w:t>
      </w:r>
      <w:r>
        <w:br/>
      </w:r>
      <w:r>
        <w:rPr>
          <w:rStyle w:val="VerbatimChar"/>
        </w:rPr>
        <w:t xml:space="preserve">17. Evaluate on random, vessel-disjoint, sea-area-disjoint, low-SNR, few-shot and adversarial tests.</w:t>
      </w:r>
    </w:p>
    <w:bookmarkEnd w:id="48"/>
    <w:bookmarkEnd w:id="49"/>
    <w:bookmarkStart w:id="55" w:name="experimental-setup"/>
    <w:p>
      <w:pPr>
        <w:pStyle w:val="Heading1"/>
      </w:pPr>
      <w:r>
        <w:t xml:space="preserve">4. Experimental setup</w:t>
      </w:r>
    </w:p>
    <w:bookmarkStart w:id="50" w:name="datasets"/>
    <w:p>
      <w:pPr>
        <w:pStyle w:val="Heading2"/>
      </w:pPr>
      <w:r>
        <w:t xml:space="preserve">4.1. Datasets</w:t>
      </w:r>
    </w:p>
    <w:p>
      <w:pPr>
        <w:pStyle w:val="FirstParagraph"/>
      </w:pPr>
      <w:r>
        <w:t xml:space="preserve">ShipsEar is a public underwater vessel-noise database recorded in real marine conditions and introduced in Applied Acoustics. It contains 90 records representing 11 vessel types, and many UATR studies merge these types into four or five broader classes for recognition experiments [51]. ShipsEar is suitable for low-resource UATR because it is relatively small, contains real vessel recordings and has been widely used for benchmarking. In this paper, ShipsEar is used for random split, vessel-group split and few-shot evaluation.</w:t>
      </w:r>
    </w:p>
    <w:p>
      <w:pPr>
        <w:pStyle w:val="BodyText"/>
      </w:pPr>
      <w:r>
        <w:t xml:space="preserve">DeepShip is a larger underwater acoustic benchmark dataset containing 47 h and 4 min of real-world recordings from 265 ships grouped into four classes [52]. It includes recordings collected under different sea states and noise conditions, making it useful for testing robustness and generalization. In this paper, DeepShip is used for in-domain training, vessel-disjoint evaluation and cross-dataset transfer.</w:t>
      </w:r>
    </w:p>
    <w:p>
      <w:pPr>
        <w:pStyle w:val="BodyText"/>
      </w:pPr>
      <w:r>
        <w:t xml:space="preserve">QiandaoEar22, also referred to in some draft notes as QiandaoHar22, is a recent multi-target ship-radiated-noise dataset designed for specific ship identification and target/background discrimination. It includes 9 h and 28 min of real ship-radiated noise and 21 h and 58 min of background noise [8]. The dataset is useful for evaluating specific-vessel recognition, target detection before recognition and multi-target acoustic complexity. In this paper, QiandaoEar22-type data are used for sea-area mismatch, target/background detection and specific target identification.</w:t>
      </w:r>
    </w:p>
    <w:p>
      <w:pPr>
        <w:pStyle w:val="BodyText"/>
      </w:pPr>
      <w:r>
        <w:t xml:space="preserve">When private hydrophone recordings are added, the paper should report sensor type, sampling frequency, recording depth, approximate range, sea state, target category, vessel identity policy, segment length and train/test splitting rules. Unlabeled audio may be used for pretraining only and must not include test labels.</w:t>
      </w:r>
    </w:p>
    <w:p>
      <w:pPr>
        <w:pStyle w:val="BodyText"/>
      </w:pPr>
      <w:r>
        <w:t xml:space="preserve">Table 5. Dataset summary and use in this study.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Dataset</w:t>
            </w:r>
          </w:p>
        </w:tc>
        <w:tc>
          <w:tcPr/>
          <w:p>
            <w:pPr>
              <w:pStyle w:val="Compact"/>
              <w:jc w:val="left"/>
            </w:pPr>
            <w:r>
              <w:t xml:space="preserve">Scale and labels</w:t>
            </w:r>
          </w:p>
        </w:tc>
        <w:tc>
          <w:tcPr/>
          <w:p>
            <w:pPr>
              <w:pStyle w:val="Compact"/>
              <w:jc w:val="left"/>
            </w:pPr>
            <w:r>
              <w:t xml:space="preserve">Main difficulty</w:t>
            </w:r>
          </w:p>
        </w:tc>
        <w:tc>
          <w:tcPr/>
          <w:p>
            <w:pPr>
              <w:pStyle w:val="Compact"/>
              <w:jc w:val="left"/>
            </w:pPr>
            <w:r>
              <w:t xml:space="preserve">Use in MAIR-UATR evaluation</w:t>
            </w:r>
          </w:p>
        </w:tc>
      </w:tr>
      <w:tr>
        <w:tc>
          <w:tcPr/>
          <w:p>
            <w:pPr>
              <w:pStyle w:val="Compact"/>
              <w:jc w:val="left"/>
            </w:pPr>
            <w:r>
              <w:t xml:space="preserve">ShipsEar [51]</w:t>
            </w:r>
          </w:p>
        </w:tc>
        <w:tc>
          <w:tcPr/>
          <w:p>
            <w:pPr>
              <w:pStyle w:val="Compact"/>
              <w:jc w:val="left"/>
            </w:pPr>
            <w:r>
              <w:t xml:space="preserve">90 records, 11 vessel types, commonly merged into broader classes.</w:t>
            </w:r>
          </w:p>
        </w:tc>
        <w:tc>
          <w:tcPr/>
          <w:p>
            <w:pPr>
              <w:pStyle w:val="Compact"/>
              <w:jc w:val="left"/>
            </w:pPr>
            <w:r>
              <w:t xml:space="preserve">Small dataset, few-shot learning, class imbalance.</w:t>
            </w:r>
          </w:p>
        </w:tc>
        <w:tc>
          <w:tcPr/>
          <w:p>
            <w:pPr>
              <w:pStyle w:val="Compact"/>
              <w:jc w:val="left"/>
            </w:pPr>
            <w:r>
              <w:t xml:space="preserve">Low-resource recognition, few-shot episodes, explainability examples.</w:t>
            </w:r>
          </w:p>
        </w:tc>
      </w:tr>
      <w:tr>
        <w:tc>
          <w:tcPr/>
          <w:p>
            <w:pPr>
              <w:pStyle w:val="Compact"/>
              <w:jc w:val="left"/>
            </w:pPr>
            <w:r>
              <w:t xml:space="preserve">DeepShip [52]</w:t>
            </w:r>
          </w:p>
        </w:tc>
        <w:tc>
          <w:tcPr/>
          <w:p>
            <w:pPr>
              <w:pStyle w:val="Compact"/>
              <w:jc w:val="left"/>
            </w:pPr>
            <w:r>
              <w:t xml:space="preserve">47 h 4 min, 265 ships, four ship classes.</w:t>
            </w:r>
          </w:p>
        </w:tc>
        <w:tc>
          <w:tcPr/>
          <w:p>
            <w:pPr>
              <w:pStyle w:val="Compact"/>
              <w:jc w:val="left"/>
            </w:pPr>
            <w:r>
              <w:t xml:space="preserve">Vessel variation, recording-condition variation, larger-scale benchmark.</w:t>
            </w:r>
          </w:p>
        </w:tc>
        <w:tc>
          <w:tcPr/>
          <w:p>
            <w:pPr>
              <w:pStyle w:val="Compact"/>
              <w:jc w:val="left"/>
            </w:pPr>
            <w:r>
              <w:t xml:space="preserve">In-domain training, vessel-disjoint split, PEFT adaptation.</w:t>
            </w:r>
          </w:p>
        </w:tc>
      </w:tr>
      <w:tr>
        <w:tc>
          <w:tcPr/>
          <w:p>
            <w:pPr>
              <w:pStyle w:val="Compact"/>
              <w:jc w:val="left"/>
            </w:pPr>
            <w:r>
              <w:t xml:space="preserve">QiandaoEar22 [8]</w:t>
            </w:r>
          </w:p>
        </w:tc>
        <w:tc>
          <w:tcPr/>
          <w:p>
            <w:pPr>
              <w:pStyle w:val="Compact"/>
              <w:jc w:val="left"/>
            </w:pPr>
            <w:r>
              <w:t xml:space="preserve">9 h 28 min ship noise and 21 h 58 min background noise.</w:t>
            </w:r>
          </w:p>
        </w:tc>
        <w:tc>
          <w:tcPr/>
          <w:p>
            <w:pPr>
              <w:pStyle w:val="Compact"/>
              <w:jc w:val="left"/>
            </w:pPr>
            <w:r>
              <w:t xml:space="preserve">Specific ship identification, multi-target scene, target/background detection.</w:t>
            </w:r>
          </w:p>
        </w:tc>
        <w:tc>
          <w:tcPr/>
          <w:p>
            <w:pPr>
              <w:pStyle w:val="Compact"/>
              <w:jc w:val="left"/>
            </w:pPr>
            <w:r>
              <w:t xml:space="preserve">Sea-area mismatch, detection-recognition pipeline, robustness tests.</w:t>
            </w:r>
          </w:p>
        </w:tc>
      </w:tr>
      <w:tr>
        <w:tc>
          <w:tcPr/>
          <w:p>
            <w:pPr>
              <w:pStyle w:val="Compact"/>
              <w:jc w:val="left"/>
            </w:pPr>
            <w:r>
              <w:t xml:space="preserve">Private or laboratory data</w:t>
            </w:r>
          </w:p>
        </w:tc>
        <w:tc>
          <w:tcPr/>
          <w:p>
            <w:pPr>
              <w:pStyle w:val="Compact"/>
              <w:jc w:val="left"/>
            </w:pPr>
            <w:r>
              <w:t xml:space="preserve">To be described by authors.</w:t>
            </w:r>
          </w:p>
        </w:tc>
        <w:tc>
          <w:tcPr/>
          <w:p>
            <w:pPr>
              <w:pStyle w:val="Compact"/>
              <w:jc w:val="left"/>
            </w:pPr>
            <w:r>
              <w:t xml:space="preserve">Sensor mismatch and deployment realism.</w:t>
            </w:r>
          </w:p>
        </w:tc>
        <w:tc>
          <w:tcPr/>
          <w:p>
            <w:pPr>
              <w:pStyle w:val="Compact"/>
              <w:jc w:val="left"/>
            </w:pPr>
            <w:r>
              <w:t xml:space="preserve">External validation if available.</w:t>
            </w:r>
          </w:p>
        </w:tc>
      </w:tr>
    </w:tbl>
    <w:bookmarkEnd w:id="50"/>
    <w:bookmarkStart w:id="51" w:name="evaluation-protocols"/>
    <w:p>
      <w:pPr>
        <w:pStyle w:val="Heading2"/>
      </w:pPr>
      <w:r>
        <w:t xml:space="preserve">4.2. Evaluation protocols</w:t>
      </w:r>
    </w:p>
    <w:p>
      <w:pPr>
        <w:pStyle w:val="FirstParagraph"/>
      </w:pPr>
      <w:r>
        <w:t xml:space="preserve">The proposed framework is evaluated under six protocols. A random segment split is used only for comparison with previous work. A vessel-disjoint split ensures that the same vessel identity does not appear in both training and test sets. A sea-area-disjoint split trains on one environment and tests on another. A low-SNR protocol injects colored noise at fixed SNR bins. A few-shot protocol evaluates N-way K-shot episodes. An adversarial protocol evaluates waveform and spectrogram perturbations.</w:t>
      </w:r>
    </w:p>
    <w:p>
      <w:pPr>
        <w:pStyle w:val="BodyText"/>
      </w:pPr>
      <w:r>
        <w:t xml:space="preserve">Table 6. Evaluation settings.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Setting</w:t>
            </w:r>
          </w:p>
        </w:tc>
        <w:tc>
          <w:tcPr/>
          <w:p>
            <w:pPr>
              <w:pStyle w:val="Compact"/>
              <w:jc w:val="left"/>
            </w:pPr>
            <w:r>
              <w:t xml:space="preserve">Purpose</w:t>
            </w:r>
          </w:p>
        </w:tc>
        <w:tc>
          <w:tcPr/>
          <w:p>
            <w:pPr>
              <w:pStyle w:val="Compact"/>
              <w:jc w:val="left"/>
            </w:pPr>
            <w:r>
              <w:t xml:space="preserve">Protocol</w:t>
            </w:r>
          </w:p>
        </w:tc>
      </w:tr>
      <w:tr>
        <w:tc>
          <w:tcPr/>
          <w:p>
            <w:pPr>
              <w:pStyle w:val="Compact"/>
              <w:jc w:val="left"/>
            </w:pPr>
            <w:r>
              <w:t xml:space="preserve">Random segment split</w:t>
            </w:r>
          </w:p>
        </w:tc>
        <w:tc>
          <w:tcPr/>
          <w:p>
            <w:pPr>
              <w:pStyle w:val="Compact"/>
              <w:jc w:val="left"/>
            </w:pPr>
            <w:r>
              <w:t xml:space="preserve">Basic comparison with prior work.</w:t>
            </w:r>
          </w:p>
        </w:tc>
        <w:tc>
          <w:tcPr/>
          <w:p>
            <w:pPr>
              <w:pStyle w:val="Compact"/>
              <w:jc w:val="left"/>
            </w:pPr>
            <w:r>
              <w:t xml:space="preserve">Randomly divide segments while preventing exact duplicates.</w:t>
            </w:r>
          </w:p>
        </w:tc>
      </w:tr>
      <w:tr>
        <w:tc>
          <w:tcPr/>
          <w:p>
            <w:pPr>
              <w:pStyle w:val="Compact"/>
              <w:jc w:val="left"/>
            </w:pPr>
            <w:r>
              <w:t xml:space="preserve">Vessel-disjoint split</w:t>
            </w:r>
          </w:p>
        </w:tc>
        <w:tc>
          <w:tcPr/>
          <w:p>
            <w:pPr>
              <w:pStyle w:val="Compact"/>
              <w:jc w:val="left"/>
            </w:pPr>
            <w:r>
              <w:t xml:space="preserve">Tests unseen-vessel generalization.</w:t>
            </w:r>
          </w:p>
        </w:tc>
        <w:tc>
          <w:tcPr/>
          <w:p>
            <w:pPr>
              <w:pStyle w:val="Compact"/>
              <w:jc w:val="left"/>
            </w:pPr>
            <w:r>
              <w:t xml:space="preserve">No vessel identity appears in both training and testing.</w:t>
            </w:r>
          </w:p>
        </w:tc>
      </w:tr>
      <w:tr>
        <w:tc>
          <w:tcPr/>
          <w:p>
            <w:pPr>
              <w:pStyle w:val="Compact"/>
              <w:jc w:val="left"/>
            </w:pPr>
            <w:r>
              <w:t xml:space="preserve">Sea-area-disjoint split</w:t>
            </w:r>
          </w:p>
        </w:tc>
        <w:tc>
          <w:tcPr/>
          <w:p>
            <w:pPr>
              <w:pStyle w:val="Compact"/>
              <w:jc w:val="left"/>
            </w:pPr>
            <w:r>
              <w:t xml:space="preserve">Tests environmental generalization.</w:t>
            </w:r>
          </w:p>
        </w:tc>
        <w:tc>
          <w:tcPr/>
          <w:p>
            <w:pPr>
              <w:pStyle w:val="Compact"/>
              <w:jc w:val="left"/>
            </w:pPr>
            <w:r>
              <w:t xml:space="preserve">Training and test data come from different acoustic environments.</w:t>
            </w:r>
          </w:p>
        </w:tc>
      </w:tr>
      <w:tr>
        <w:tc>
          <w:tcPr/>
          <w:p>
            <w:pPr>
              <w:pStyle w:val="Compact"/>
              <w:jc w:val="left"/>
            </w:pPr>
            <w:r>
              <w:t xml:space="preserve">Low-SNR split</w:t>
            </w:r>
          </w:p>
        </w:tc>
        <w:tc>
          <w:tcPr/>
          <w:p>
            <w:pPr>
              <w:pStyle w:val="Compact"/>
              <w:jc w:val="left"/>
            </w:pPr>
            <w:r>
              <w:t xml:space="preserve">Tests complex recognition conditions.</w:t>
            </w:r>
          </w:p>
        </w:tc>
        <w:tc>
          <w:tcPr/>
          <w:p>
            <w:pPr>
              <w:pStyle w:val="Compact"/>
              <w:jc w:val="left"/>
            </w:pPr>
            <w:r>
              <w:t xml:space="preserve">Evaluate at -10, -5, 0, 5 and 10 dB.</w:t>
            </w:r>
          </w:p>
        </w:tc>
      </w:tr>
      <w:tr>
        <w:tc>
          <w:tcPr/>
          <w:p>
            <w:pPr>
              <w:pStyle w:val="Compact"/>
              <w:jc w:val="left"/>
            </w:pPr>
            <w:r>
              <w:t xml:space="preserve">Few-shot split</w:t>
            </w:r>
          </w:p>
        </w:tc>
        <w:tc>
          <w:tcPr/>
          <w:p>
            <w:pPr>
              <w:pStyle w:val="Compact"/>
              <w:jc w:val="left"/>
            </w:pPr>
            <w:r>
              <w:t xml:space="preserve">Tests scarce-label adaptation.</w:t>
            </w:r>
          </w:p>
        </w:tc>
        <w:tc>
          <w:tcPr/>
          <w:p>
            <w:pPr>
              <w:pStyle w:val="Compact"/>
              <w:jc w:val="left"/>
            </w:pPr>
            <w:r>
              <w:t xml:space="preserve">Use 5-way 1-shot and 5-way 5-shot episodes.</w:t>
            </w:r>
          </w:p>
        </w:tc>
      </w:tr>
      <w:tr>
        <w:tc>
          <w:tcPr/>
          <w:p>
            <w:pPr>
              <w:pStyle w:val="Compact"/>
              <w:jc w:val="left"/>
            </w:pPr>
            <w:r>
              <w:t xml:space="preserve">Adversarial split</w:t>
            </w:r>
          </w:p>
        </w:tc>
        <w:tc>
          <w:tcPr/>
          <w:p>
            <w:pPr>
              <w:pStyle w:val="Compact"/>
              <w:jc w:val="left"/>
            </w:pPr>
            <w:r>
              <w:t xml:space="preserve">Tests receiver-side robustness.</w:t>
            </w:r>
          </w:p>
        </w:tc>
        <w:tc>
          <w:tcPr/>
          <w:p>
            <w:pPr>
              <w:pStyle w:val="Compact"/>
              <w:jc w:val="left"/>
            </w:pPr>
            <w:r>
              <w:t xml:space="preserve">Evaluate clean accuracy, attacked accuracy and detector AUROC.</w:t>
            </w:r>
          </w:p>
        </w:tc>
      </w:tr>
    </w:tbl>
    <w:bookmarkEnd w:id="51"/>
    <w:bookmarkStart w:id="52" w:name="baselines"/>
    <w:p>
      <w:pPr>
        <w:pStyle w:val="Heading2"/>
      </w:pPr>
      <w:r>
        <w:t xml:space="preserve">4.3. Baselines</w:t>
      </w:r>
    </w:p>
    <w:p>
      <w:pPr>
        <w:pStyle w:val="FirstParagraph"/>
      </w:pPr>
      <w:r>
        <w:t xml:space="preserve">Baselines include SVM, KNN, logistic regression, shallow CNN, ResNet18, CRNN, STM, Audio Spectrogram Transformer (AST), PANN-based transfer learning, ImageNet-pretrained spectrogram models, knowledge-distillation methods and recent Transformer or adapter-based UATR methods. All baselines should use identical segment lengths, training/test splits and augmentation budgets.</w:t>
      </w:r>
    </w:p>
    <w:bookmarkEnd w:id="52"/>
    <w:bookmarkStart w:id="53" w:name="metrics-and-statistical-analysis"/>
    <w:p>
      <w:pPr>
        <w:pStyle w:val="Heading2"/>
      </w:pPr>
      <w:r>
        <w:t xml:space="preserve">4.4. Metrics and statistical analysis</w:t>
      </w:r>
    </w:p>
    <w:p>
      <w:pPr>
        <w:pStyle w:val="FirstParagraph"/>
      </w:pPr>
      <w:r>
        <w:t xml:space="preserve">Primary metrics include accuracy, macro-F1, balanced accuracy and confusion matrices. Macro-F1 is emphasized because UATR datasets are often imbalanced. Generalization is reported as the drop from in-domain accuracy to vessel-disjoint or sea-area-disjoint performance. Robustness is reported using clean accuracy, attacked accuracy, robust accuracy, attack-detection AUROC and expected calibration error (ECE). Confidence intervals should be computed across repeated seeds or bootstrap samples.</w:t>
      </w:r>
    </w:p>
    <w:p>
      <w:pPr>
        <w:pStyle w:val="BodyText"/>
      </w:pPr>
      <w:r>
        <w:t xml:space="preserve">Macro-F1 is defined as</w:t>
      </w:r>
    </w:p>
    <w:p>
      <w:pPr>
        <w:pStyle w:val="BodyText"/>
      </w:pPr>
    </w:p>
    <w:bookmarkEnd w:id="53"/>
    <w:bookmarkStart w:id="54" w:name="implementation-details"/>
    <w:p>
      <w:pPr>
        <w:pStyle w:val="Heading2"/>
      </w:pPr>
      <w:r>
        <w:t xml:space="preserve">4.5. Implementation details</w:t>
      </w:r>
    </w:p>
    <w:p>
      <w:pPr>
        <w:pStyle w:val="FirstParagraph"/>
      </w:pPr>
      <w:r>
        <w:t xml:space="preserve">A typical implementation uses 4 s segments with 50% overlap, a 1024-point STFT window, 128 Mel bands and batch-level normalization. The Transformer uses 8 attention heads and 8 encoder layers in the default setting. LoRA rank is selected from</w:t>
      </w:r>
      <w:r>
        <w:t xml:space="preserve"> </w:t>
      </w:r>
      <m:oMath>
        <m:r>
          <m:t>r</m:t>
        </m:r>
        <m:r>
          <m:rPr>
            <m:sty m:val="p"/>
          </m:rPr>
          <m:t>∈</m:t>
        </m:r>
        <m:r>
          <m:rPr>
            <m:sty m:val="p"/>
          </m:rPr>
          <m:t>{</m:t>
        </m:r>
        <m:r>
          <m:t>4</m:t>
        </m:r>
        <m:r>
          <m:rPr>
            <m:sty m:val="p"/>
          </m:rPr>
          <m:t>,</m:t>
        </m:r>
        <m:r>
          <m:t>8</m:t>
        </m:r>
        <m:r>
          <m:rPr>
            <m:sty m:val="p"/>
          </m:rPr>
          <m:t>,</m:t>
        </m:r>
        <m:r>
          <m:t>16</m:t>
        </m:r>
        <m:r>
          <m:rPr>
            <m:sty m:val="p"/>
          </m:rPr>
          <m:t>}</m:t>
        </m:r>
      </m:oMath>
      <w:r>
        <w:t xml:space="preserve">. AdamW is used with cosine learning-rate decay. Early stopping is based on vessel-disjoint macro-F1, not random-split accuracy. All experiments should report random seeds, GPU type, trainable parameter ratio and inference latency.</w:t>
      </w:r>
    </w:p>
    <w:bookmarkEnd w:id="54"/>
    <w:bookmarkEnd w:id="55"/>
    <w:bookmarkStart w:id="65" w:name="experimental-results"/>
    <w:p>
      <w:pPr>
        <w:pStyle w:val="Heading1"/>
      </w:pPr>
      <w:r>
        <w:t xml:space="preserve">5. Experimental results</w:t>
      </w:r>
    </w:p>
    <w:p>
      <w:pPr>
        <w:pStyle w:val="FirstParagraph"/>
      </w:pPr>
      <w:r>
        <w:t xml:space="preserve">Important note: the following numerical tables complete the results section and show a full comparison structure. They are draft/pilot reporting values for manuscript development and must be replaced by measured results after running the final code on fixed public splits. They are not claimed as independently executed final experimental measurements.</w:t>
      </w:r>
    </w:p>
    <w:bookmarkStart w:id="56" w:name="X22da840caf88aae43aaec24f87ccc6df3c62447"/>
    <w:p>
      <w:pPr>
        <w:pStyle w:val="Heading2"/>
      </w:pPr>
      <w:r>
        <w:t xml:space="preserve">5.1. Main comparison across datasets and conditions</w:t>
      </w:r>
    </w:p>
    <w:p>
      <w:pPr>
        <w:pStyle w:val="FirstParagraph"/>
      </w:pPr>
      <w:r>
        <w:t xml:space="preserve">The main comparison is separated into standard/generalization metrics and stress-test metrics to avoid overcrowded tables. The expected pattern is that MAIR-UATR produces the largest improvement under vessel-disjoint, sea-area-disjoint, low-SNR, few-shot and adversarial protocols.</w:t>
      </w:r>
    </w:p>
    <w:p>
      <w:pPr>
        <w:pStyle w:val="BodyText"/>
      </w:pPr>
      <w:r>
        <w:t xml:space="preserve">Table 7a. Standard and generalization comparison (draft/pilot reporting values, %).</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Model</w:t>
            </w:r>
          </w:p>
        </w:tc>
        <w:tc>
          <w:tcPr/>
          <w:p>
            <w:pPr>
              <w:pStyle w:val="Compact"/>
              <w:jc w:val="right"/>
            </w:pPr>
            <w:r>
              <w:t xml:space="preserve">In-domain accuracy</w:t>
            </w:r>
          </w:p>
        </w:tc>
        <w:tc>
          <w:tcPr/>
          <w:p>
            <w:pPr>
              <w:pStyle w:val="Compact"/>
              <w:jc w:val="right"/>
            </w:pPr>
            <w:r>
              <w:t xml:space="preserve">Vessel-disjoint macro-F1</w:t>
            </w:r>
          </w:p>
        </w:tc>
        <w:tc>
          <w:tcPr/>
          <w:p>
            <w:pPr>
              <w:pStyle w:val="Compact"/>
              <w:jc w:val="right"/>
            </w:pPr>
            <w:r>
              <w:t xml:space="preserve">Sea-area-disjoint macro-F1</w:t>
            </w:r>
          </w:p>
        </w:tc>
      </w:tr>
      <w:tr>
        <w:tc>
          <w:tcPr/>
          <w:p>
            <w:pPr>
              <w:pStyle w:val="Compact"/>
              <w:jc w:val="left"/>
            </w:pPr>
            <w:r>
              <w:t xml:space="preserve">SVM/KNN/LR</w:t>
            </w:r>
          </w:p>
        </w:tc>
        <w:tc>
          <w:tcPr/>
          <w:p>
            <w:pPr>
              <w:pStyle w:val="Compact"/>
              <w:jc w:val="right"/>
            </w:pPr>
            <w:r>
              <w:t xml:space="preserve">82.4</w:t>
            </w:r>
          </w:p>
        </w:tc>
        <w:tc>
          <w:tcPr/>
          <w:p>
            <w:pPr>
              <w:pStyle w:val="Compact"/>
              <w:jc w:val="right"/>
            </w:pPr>
            <w:r>
              <w:t xml:space="preserve">64.7</w:t>
            </w:r>
          </w:p>
        </w:tc>
        <w:tc>
          <w:tcPr/>
          <w:p>
            <w:pPr>
              <w:pStyle w:val="Compact"/>
              <w:jc w:val="right"/>
            </w:pPr>
            <w:r>
              <w:t xml:space="preserve">59.8</w:t>
            </w:r>
          </w:p>
        </w:tc>
      </w:tr>
      <w:tr>
        <w:tc>
          <w:tcPr/>
          <w:p>
            <w:pPr>
              <w:pStyle w:val="Compact"/>
              <w:jc w:val="left"/>
            </w:pPr>
            <w:r>
              <w:t xml:space="preserve">Shallow CNN</w:t>
            </w:r>
          </w:p>
        </w:tc>
        <w:tc>
          <w:tcPr/>
          <w:p>
            <w:pPr>
              <w:pStyle w:val="Compact"/>
              <w:jc w:val="right"/>
            </w:pPr>
            <w:r>
              <w:t xml:space="preserve">90.6</w:t>
            </w:r>
          </w:p>
        </w:tc>
        <w:tc>
          <w:tcPr/>
          <w:p>
            <w:pPr>
              <w:pStyle w:val="Compact"/>
              <w:jc w:val="right"/>
            </w:pPr>
            <w:r>
              <w:t xml:space="preserve">72.1</w:t>
            </w:r>
          </w:p>
        </w:tc>
        <w:tc>
          <w:tcPr/>
          <w:p>
            <w:pPr>
              <w:pStyle w:val="Compact"/>
              <w:jc w:val="right"/>
            </w:pPr>
            <w:r>
              <w:t xml:space="preserve">68.5</w:t>
            </w:r>
          </w:p>
        </w:tc>
      </w:tr>
      <w:tr>
        <w:tc>
          <w:tcPr/>
          <w:p>
            <w:pPr>
              <w:pStyle w:val="Compact"/>
              <w:jc w:val="left"/>
            </w:pPr>
            <w:r>
              <w:t xml:space="preserve">ResNet18</w:t>
            </w:r>
          </w:p>
        </w:tc>
        <w:tc>
          <w:tcPr/>
          <w:p>
            <w:pPr>
              <w:pStyle w:val="Compact"/>
              <w:jc w:val="right"/>
            </w:pPr>
            <w:r>
              <w:t xml:space="preserve">94.1</w:t>
            </w:r>
          </w:p>
        </w:tc>
        <w:tc>
          <w:tcPr/>
          <w:p>
            <w:pPr>
              <w:pStyle w:val="Compact"/>
              <w:jc w:val="right"/>
            </w:pPr>
            <w:r>
              <w:t xml:space="preserve">78.4</w:t>
            </w:r>
          </w:p>
        </w:tc>
        <w:tc>
          <w:tcPr/>
          <w:p>
            <w:pPr>
              <w:pStyle w:val="Compact"/>
              <w:jc w:val="right"/>
            </w:pPr>
            <w:r>
              <w:t xml:space="preserve">74.6</w:t>
            </w:r>
          </w:p>
        </w:tc>
      </w:tr>
      <w:tr>
        <w:tc>
          <w:tcPr/>
          <w:p>
            <w:pPr>
              <w:pStyle w:val="Compact"/>
              <w:jc w:val="left"/>
            </w:pPr>
            <w:r>
              <w:t xml:space="preserve">CRNN</w:t>
            </w:r>
          </w:p>
        </w:tc>
        <w:tc>
          <w:tcPr/>
          <w:p>
            <w:pPr>
              <w:pStyle w:val="Compact"/>
              <w:jc w:val="right"/>
            </w:pPr>
            <w:r>
              <w:t xml:space="preserve">94.8</w:t>
            </w:r>
          </w:p>
        </w:tc>
        <w:tc>
          <w:tcPr/>
          <w:p>
            <w:pPr>
              <w:pStyle w:val="Compact"/>
              <w:jc w:val="right"/>
            </w:pPr>
            <w:r>
              <w:t xml:space="preserve">80.2</w:t>
            </w:r>
          </w:p>
        </w:tc>
        <w:tc>
          <w:tcPr/>
          <w:p>
            <w:pPr>
              <w:pStyle w:val="Compact"/>
              <w:jc w:val="right"/>
            </w:pPr>
            <w:r>
              <w:t xml:space="preserve">76.1</w:t>
            </w:r>
          </w:p>
        </w:tc>
      </w:tr>
      <w:tr>
        <w:tc>
          <w:tcPr/>
          <w:p>
            <w:pPr>
              <w:pStyle w:val="Compact"/>
              <w:jc w:val="left"/>
            </w:pPr>
            <w:r>
              <w:t xml:space="preserve">STM / AST</w:t>
            </w:r>
          </w:p>
        </w:tc>
        <w:tc>
          <w:tcPr/>
          <w:p>
            <w:pPr>
              <w:pStyle w:val="Compact"/>
              <w:jc w:val="right"/>
            </w:pPr>
            <w:r>
              <w:t xml:space="preserve">96.7</w:t>
            </w:r>
          </w:p>
        </w:tc>
        <w:tc>
          <w:tcPr/>
          <w:p>
            <w:pPr>
              <w:pStyle w:val="Compact"/>
              <w:jc w:val="right"/>
            </w:pPr>
            <w:r>
              <w:t xml:space="preserve">83.5</w:t>
            </w:r>
          </w:p>
        </w:tc>
        <w:tc>
          <w:tcPr/>
          <w:p>
            <w:pPr>
              <w:pStyle w:val="Compact"/>
              <w:jc w:val="right"/>
            </w:pPr>
            <w:r>
              <w:t xml:space="preserve">79.4</w:t>
            </w:r>
          </w:p>
        </w:tc>
      </w:tr>
      <w:tr>
        <w:tc>
          <w:tcPr/>
          <w:p>
            <w:pPr>
              <w:pStyle w:val="Compact"/>
              <w:jc w:val="left"/>
            </w:pPr>
            <w:r>
              <w:t xml:space="preserve">PANN/ImageNet transfer</w:t>
            </w:r>
          </w:p>
        </w:tc>
        <w:tc>
          <w:tcPr/>
          <w:p>
            <w:pPr>
              <w:pStyle w:val="Compact"/>
              <w:jc w:val="right"/>
            </w:pPr>
            <w:r>
              <w:t xml:space="preserve">96.1</w:t>
            </w:r>
          </w:p>
        </w:tc>
        <w:tc>
          <w:tcPr/>
          <w:p>
            <w:pPr>
              <w:pStyle w:val="Compact"/>
              <w:jc w:val="right"/>
            </w:pPr>
            <w:r>
              <w:t xml:space="preserve">84.2</w:t>
            </w:r>
          </w:p>
        </w:tc>
        <w:tc>
          <w:tcPr/>
          <w:p>
            <w:pPr>
              <w:pStyle w:val="Compact"/>
              <w:jc w:val="right"/>
            </w:pPr>
            <w:r>
              <w:t xml:space="preserve">80.6</w:t>
            </w:r>
          </w:p>
        </w:tc>
      </w:tr>
      <w:tr>
        <w:tc>
          <w:tcPr/>
          <w:p>
            <w:pPr>
              <w:pStyle w:val="Compact"/>
              <w:jc w:val="left"/>
            </w:pPr>
            <w:r>
              <w:t xml:space="preserve">Knowledge distillation baseline</w:t>
            </w:r>
          </w:p>
        </w:tc>
        <w:tc>
          <w:tcPr/>
          <w:p>
            <w:pPr>
              <w:pStyle w:val="Compact"/>
              <w:jc w:val="right"/>
            </w:pPr>
            <w:r>
              <w:t xml:space="preserve">95.5</w:t>
            </w:r>
          </w:p>
        </w:tc>
        <w:tc>
          <w:tcPr/>
          <w:p>
            <w:pPr>
              <w:pStyle w:val="Compact"/>
              <w:jc w:val="right"/>
            </w:pPr>
            <w:r>
              <w:t xml:space="preserve">84.9</w:t>
            </w:r>
          </w:p>
        </w:tc>
        <w:tc>
          <w:tcPr/>
          <w:p>
            <w:pPr>
              <w:pStyle w:val="Compact"/>
              <w:jc w:val="right"/>
            </w:pPr>
            <w:r>
              <w:t xml:space="preserve">81.7</w:t>
            </w:r>
          </w:p>
        </w:tc>
      </w:tr>
      <w:tr>
        <w:tc>
          <w:tcPr/>
          <w:p>
            <w:pPr>
              <w:pStyle w:val="Compact"/>
              <w:jc w:val="left"/>
            </w:pPr>
            <w:r>
              <w:t xml:space="preserve">MAIR-UATR without robustness</w:t>
            </w:r>
          </w:p>
        </w:tc>
        <w:tc>
          <w:tcPr/>
          <w:p>
            <w:pPr>
              <w:pStyle w:val="Compact"/>
              <w:jc w:val="right"/>
            </w:pPr>
            <w:r>
              <w:t xml:space="preserve">98.0</w:t>
            </w:r>
          </w:p>
        </w:tc>
        <w:tc>
          <w:tcPr/>
          <w:p>
            <w:pPr>
              <w:pStyle w:val="Compact"/>
              <w:jc w:val="right"/>
            </w:pPr>
            <w:r>
              <w:t xml:space="preserve">89.1</w:t>
            </w:r>
          </w:p>
        </w:tc>
        <w:tc>
          <w:tcPr/>
          <w:p>
            <w:pPr>
              <w:pStyle w:val="Compact"/>
              <w:jc w:val="right"/>
            </w:pPr>
            <w:r>
              <w:t xml:space="preserve">86.4</w:t>
            </w:r>
          </w:p>
        </w:tc>
      </w:tr>
      <w:tr>
        <w:tc>
          <w:tcPr/>
          <w:p>
            <w:pPr>
              <w:pStyle w:val="Compact"/>
              <w:jc w:val="left"/>
            </w:pPr>
            <w:r>
              <w:t xml:space="preserve">MAIR-UATR full</w:t>
            </w:r>
          </w:p>
        </w:tc>
        <w:tc>
          <w:tcPr/>
          <w:p>
            <w:pPr>
              <w:pStyle w:val="Compact"/>
              <w:jc w:val="right"/>
            </w:pPr>
            <w:r>
              <w:t xml:space="preserve">98.6</w:t>
            </w:r>
          </w:p>
        </w:tc>
        <w:tc>
          <w:tcPr/>
          <w:p>
            <w:pPr>
              <w:pStyle w:val="Compact"/>
              <w:jc w:val="right"/>
            </w:pPr>
            <w:r>
              <w:t xml:space="preserve">91.8</w:t>
            </w:r>
          </w:p>
        </w:tc>
        <w:tc>
          <w:tcPr/>
          <w:p>
            <w:pPr>
              <w:pStyle w:val="Compact"/>
              <w:jc w:val="right"/>
            </w:pPr>
            <w:r>
              <w:t xml:space="preserve">89.3</w:t>
            </w:r>
          </w:p>
        </w:tc>
      </w:tr>
    </w:tbl>
    <w:p>
      <w:pPr>
        <w:pStyle w:val="BodyText"/>
      </w:pPr>
      <w:r>
        <w:t xml:space="preserve">Table 7b. Stress-test comparison (draft/pilot reporting values, %).</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right"/>
            </w:pPr>
            <w:r>
              <w:t xml:space="preserve">Low-SNR macro-F1</w:t>
            </w:r>
          </w:p>
        </w:tc>
        <w:tc>
          <w:tcPr/>
          <w:p>
            <w:pPr>
              <w:pStyle w:val="Compact"/>
              <w:jc w:val="right"/>
            </w:pPr>
            <w:r>
              <w:t xml:space="preserve">5-shot accuracy</w:t>
            </w:r>
          </w:p>
        </w:tc>
        <w:tc>
          <w:tcPr/>
          <w:p>
            <w:pPr>
              <w:pStyle w:val="Compact"/>
              <w:jc w:val="right"/>
            </w:pPr>
            <w:r>
              <w:t xml:space="preserve">PGD robust accuracy</w:t>
            </w:r>
          </w:p>
        </w:tc>
      </w:tr>
      <w:tr>
        <w:tc>
          <w:tcPr/>
          <w:p>
            <w:pPr>
              <w:pStyle w:val="Compact"/>
              <w:jc w:val="left"/>
            </w:pPr>
            <w:r>
              <w:t xml:space="preserve">SVM/KNN/LR</w:t>
            </w:r>
          </w:p>
        </w:tc>
        <w:tc>
          <w:tcPr/>
          <w:p>
            <w:pPr>
              <w:pStyle w:val="Compact"/>
              <w:jc w:val="right"/>
            </w:pPr>
            <w:r>
              <w:t xml:space="preserve">51.6</w:t>
            </w:r>
          </w:p>
        </w:tc>
        <w:tc>
          <w:tcPr/>
          <w:p>
            <w:pPr>
              <w:pStyle w:val="Compact"/>
              <w:jc w:val="right"/>
            </w:pPr>
            <w:r>
              <w:t xml:space="preserve">56.2</w:t>
            </w:r>
          </w:p>
        </w:tc>
        <w:tc>
          <w:tcPr/>
          <w:p>
            <w:pPr>
              <w:pStyle w:val="Compact"/>
              <w:jc w:val="right"/>
            </w:pPr>
            <w:r>
              <w:t xml:space="preserve">18.4</w:t>
            </w:r>
          </w:p>
        </w:tc>
      </w:tr>
      <w:tr>
        <w:tc>
          <w:tcPr/>
          <w:p>
            <w:pPr>
              <w:pStyle w:val="Compact"/>
              <w:jc w:val="left"/>
            </w:pPr>
            <w:r>
              <w:t xml:space="preserve">Shallow CNN</w:t>
            </w:r>
          </w:p>
        </w:tc>
        <w:tc>
          <w:tcPr/>
          <w:p>
            <w:pPr>
              <w:pStyle w:val="Compact"/>
              <w:jc w:val="right"/>
            </w:pPr>
            <w:r>
              <w:t xml:space="preserve">62.8</w:t>
            </w:r>
          </w:p>
        </w:tc>
        <w:tc>
          <w:tcPr/>
          <w:p>
            <w:pPr>
              <w:pStyle w:val="Compact"/>
              <w:jc w:val="right"/>
            </w:pPr>
            <w:r>
              <w:t xml:space="preserve">64.7</w:t>
            </w:r>
          </w:p>
        </w:tc>
        <w:tc>
          <w:tcPr/>
          <w:p>
            <w:pPr>
              <w:pStyle w:val="Compact"/>
              <w:jc w:val="right"/>
            </w:pPr>
            <w:r>
              <w:t xml:space="preserve">24.9</w:t>
            </w:r>
          </w:p>
        </w:tc>
      </w:tr>
      <w:tr>
        <w:tc>
          <w:tcPr/>
          <w:p>
            <w:pPr>
              <w:pStyle w:val="Compact"/>
              <w:jc w:val="left"/>
            </w:pPr>
            <w:r>
              <w:t xml:space="preserve">ResNet18</w:t>
            </w:r>
          </w:p>
        </w:tc>
        <w:tc>
          <w:tcPr/>
          <w:p>
            <w:pPr>
              <w:pStyle w:val="Compact"/>
              <w:jc w:val="right"/>
            </w:pPr>
            <w:r>
              <w:t xml:space="preserve">69.3</w:t>
            </w:r>
          </w:p>
        </w:tc>
        <w:tc>
          <w:tcPr/>
          <w:p>
            <w:pPr>
              <w:pStyle w:val="Compact"/>
              <w:jc w:val="right"/>
            </w:pPr>
            <w:r>
              <w:t xml:space="preserve">70.8</w:t>
            </w:r>
          </w:p>
        </w:tc>
        <w:tc>
          <w:tcPr/>
          <w:p>
            <w:pPr>
              <w:pStyle w:val="Compact"/>
              <w:jc w:val="right"/>
            </w:pPr>
            <w:r>
              <w:t xml:space="preserve">31.7</w:t>
            </w:r>
          </w:p>
        </w:tc>
      </w:tr>
      <w:tr>
        <w:tc>
          <w:tcPr/>
          <w:p>
            <w:pPr>
              <w:pStyle w:val="Compact"/>
              <w:jc w:val="left"/>
            </w:pPr>
            <w:r>
              <w:t xml:space="preserve">CRNN</w:t>
            </w:r>
          </w:p>
        </w:tc>
        <w:tc>
          <w:tcPr/>
          <w:p>
            <w:pPr>
              <w:pStyle w:val="Compact"/>
              <w:jc w:val="right"/>
            </w:pPr>
            <w:r>
              <w:t xml:space="preserve">71.0</w:t>
            </w:r>
          </w:p>
        </w:tc>
        <w:tc>
          <w:tcPr/>
          <w:p>
            <w:pPr>
              <w:pStyle w:val="Compact"/>
              <w:jc w:val="right"/>
            </w:pPr>
            <w:r>
              <w:t xml:space="preserve">72.6</w:t>
            </w:r>
          </w:p>
        </w:tc>
        <w:tc>
          <w:tcPr/>
          <w:p>
            <w:pPr>
              <w:pStyle w:val="Compact"/>
              <w:jc w:val="right"/>
            </w:pPr>
            <w:r>
              <w:t xml:space="preserve">34.5</w:t>
            </w:r>
          </w:p>
        </w:tc>
      </w:tr>
      <w:tr>
        <w:tc>
          <w:tcPr/>
          <w:p>
            <w:pPr>
              <w:pStyle w:val="Compact"/>
              <w:jc w:val="left"/>
            </w:pPr>
            <w:r>
              <w:t xml:space="preserve">STM / AST</w:t>
            </w:r>
          </w:p>
        </w:tc>
        <w:tc>
          <w:tcPr/>
          <w:p>
            <w:pPr>
              <w:pStyle w:val="Compact"/>
              <w:jc w:val="right"/>
            </w:pPr>
            <w:r>
              <w:t xml:space="preserve">74.8</w:t>
            </w:r>
          </w:p>
        </w:tc>
        <w:tc>
          <w:tcPr/>
          <w:p>
            <w:pPr>
              <w:pStyle w:val="Compact"/>
              <w:jc w:val="right"/>
            </w:pPr>
            <w:r>
              <w:t xml:space="preserve">77.3</w:t>
            </w:r>
          </w:p>
        </w:tc>
        <w:tc>
          <w:tcPr/>
          <w:p>
            <w:pPr>
              <w:pStyle w:val="Compact"/>
              <w:jc w:val="right"/>
            </w:pPr>
            <w:r>
              <w:t xml:space="preserve">39.6</w:t>
            </w:r>
          </w:p>
        </w:tc>
      </w:tr>
      <w:tr>
        <w:tc>
          <w:tcPr/>
          <w:p>
            <w:pPr>
              <w:pStyle w:val="Compact"/>
              <w:jc w:val="left"/>
            </w:pPr>
            <w:r>
              <w:t xml:space="preserve">PANN/ImageNet transfer</w:t>
            </w:r>
          </w:p>
        </w:tc>
        <w:tc>
          <w:tcPr/>
          <w:p>
            <w:pPr>
              <w:pStyle w:val="Compact"/>
              <w:jc w:val="right"/>
            </w:pPr>
            <w:r>
              <w:t xml:space="preserve">76.2</w:t>
            </w:r>
          </w:p>
        </w:tc>
        <w:tc>
          <w:tcPr/>
          <w:p>
            <w:pPr>
              <w:pStyle w:val="Compact"/>
              <w:jc w:val="right"/>
            </w:pPr>
            <w:r>
              <w:t xml:space="preserve">78.1</w:t>
            </w:r>
          </w:p>
        </w:tc>
        <w:tc>
          <w:tcPr/>
          <w:p>
            <w:pPr>
              <w:pStyle w:val="Compact"/>
              <w:jc w:val="right"/>
            </w:pPr>
            <w:r>
              <w:t xml:space="preserve">41.2</w:t>
            </w:r>
          </w:p>
        </w:tc>
      </w:tr>
      <w:tr>
        <w:tc>
          <w:tcPr/>
          <w:p>
            <w:pPr>
              <w:pStyle w:val="Compact"/>
              <w:jc w:val="left"/>
            </w:pPr>
            <w:r>
              <w:t xml:space="preserve">Knowledge distillation baseline</w:t>
            </w:r>
          </w:p>
        </w:tc>
        <w:tc>
          <w:tcPr/>
          <w:p>
            <w:pPr>
              <w:pStyle w:val="Compact"/>
              <w:jc w:val="right"/>
            </w:pPr>
            <w:r>
              <w:t xml:space="preserve">77.0</w:t>
            </w:r>
          </w:p>
        </w:tc>
        <w:tc>
          <w:tcPr/>
          <w:p>
            <w:pPr>
              <w:pStyle w:val="Compact"/>
              <w:jc w:val="right"/>
            </w:pPr>
            <w:r>
              <w:t xml:space="preserve">78.9</w:t>
            </w:r>
          </w:p>
        </w:tc>
        <w:tc>
          <w:tcPr/>
          <w:p>
            <w:pPr>
              <w:pStyle w:val="Compact"/>
              <w:jc w:val="right"/>
            </w:pPr>
            <w:r>
              <w:t xml:space="preserve">43.8</w:t>
            </w:r>
          </w:p>
        </w:tc>
      </w:tr>
      <w:tr>
        <w:tc>
          <w:tcPr/>
          <w:p>
            <w:pPr>
              <w:pStyle w:val="Compact"/>
              <w:jc w:val="left"/>
            </w:pPr>
            <w:r>
              <w:t xml:space="preserve">MAIR-UATR without robustness</w:t>
            </w:r>
          </w:p>
        </w:tc>
        <w:tc>
          <w:tcPr/>
          <w:p>
            <w:pPr>
              <w:pStyle w:val="Compact"/>
              <w:jc w:val="right"/>
            </w:pPr>
            <w:r>
              <w:t xml:space="preserve">83.5</w:t>
            </w:r>
          </w:p>
        </w:tc>
        <w:tc>
          <w:tcPr/>
          <w:p>
            <w:pPr>
              <w:pStyle w:val="Compact"/>
              <w:jc w:val="right"/>
            </w:pPr>
            <w:r>
              <w:t xml:space="preserve">86.8</w:t>
            </w:r>
          </w:p>
        </w:tc>
        <w:tc>
          <w:tcPr/>
          <w:p>
            <w:pPr>
              <w:pStyle w:val="Compact"/>
              <w:jc w:val="right"/>
            </w:pPr>
            <w:r>
              <w:t xml:space="preserve">50.1</w:t>
            </w:r>
          </w:p>
        </w:tc>
      </w:tr>
      <w:tr>
        <w:tc>
          <w:tcPr/>
          <w:p>
            <w:pPr>
              <w:pStyle w:val="Compact"/>
              <w:jc w:val="left"/>
            </w:pPr>
            <w:r>
              <w:t xml:space="preserve">MAIR-UATR full</w:t>
            </w:r>
          </w:p>
        </w:tc>
        <w:tc>
          <w:tcPr/>
          <w:p>
            <w:pPr>
              <w:pStyle w:val="Compact"/>
              <w:jc w:val="right"/>
            </w:pPr>
            <w:r>
              <w:t xml:space="preserve">86.7</w:t>
            </w:r>
          </w:p>
        </w:tc>
        <w:tc>
          <w:tcPr/>
          <w:p>
            <w:pPr>
              <w:pStyle w:val="Compact"/>
              <w:jc w:val="right"/>
            </w:pPr>
            <w:r>
              <w:t xml:space="preserve">89.4</w:t>
            </w:r>
          </w:p>
        </w:tc>
        <w:tc>
          <w:tcPr/>
          <w:p>
            <w:pPr>
              <w:pStyle w:val="Compact"/>
              <w:jc w:val="right"/>
            </w:pPr>
            <w:r>
              <w:t xml:space="preserve">82.4</w:t>
            </w:r>
          </w:p>
        </w:tc>
      </w:tr>
    </w:tbl>
    <w:bookmarkEnd w:id="56"/>
    <w:bookmarkStart w:id="57" w:name="dataset-level-comparison"/>
    <w:p>
      <w:pPr>
        <w:pStyle w:val="Heading2"/>
      </w:pPr>
      <w:r>
        <w:t xml:space="preserve">5.2. Dataset-level comparison</w:t>
      </w:r>
    </w:p>
    <w:p>
      <w:pPr>
        <w:pStyle w:val="FirstParagraph"/>
      </w:pPr>
      <w:r>
        <w:t xml:space="preserve">ShipsEar emphasizes small-data recognition, DeepShip emphasizes larger-scale ship-type recognition, and QiandaoEar22 emphasizes target/background and specific target identification. The values below provide complete dataset-level tables for the planned experimental section.</w:t>
      </w:r>
    </w:p>
    <w:p>
      <w:pPr>
        <w:pStyle w:val="BodyText"/>
      </w:pPr>
      <w:r>
        <w:t xml:space="preserve">Table 8a. ShipsEar comparison (draft/pilot reporting values,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right"/>
            </w:pPr>
            <w:r>
              <w:t xml:space="preserve">Accuracy</w:t>
            </w:r>
          </w:p>
        </w:tc>
        <w:tc>
          <w:tcPr/>
          <w:p>
            <w:pPr>
              <w:pStyle w:val="Compact"/>
              <w:jc w:val="right"/>
            </w:pPr>
            <w:r>
              <w:t xml:space="preserve">Macro-F1</w:t>
            </w:r>
          </w:p>
        </w:tc>
      </w:tr>
      <w:tr>
        <w:tc>
          <w:tcPr/>
          <w:p>
            <w:pPr>
              <w:pStyle w:val="Compact"/>
              <w:jc w:val="left"/>
            </w:pPr>
            <w:r>
              <w:t xml:space="preserve">SVM</w:t>
            </w:r>
          </w:p>
        </w:tc>
        <w:tc>
          <w:tcPr/>
          <w:p>
            <w:pPr>
              <w:pStyle w:val="Compact"/>
              <w:jc w:val="right"/>
            </w:pPr>
            <w:r>
              <w:t xml:space="preserve">78.6</w:t>
            </w:r>
          </w:p>
        </w:tc>
        <w:tc>
          <w:tcPr/>
          <w:p>
            <w:pPr>
              <w:pStyle w:val="Compact"/>
              <w:jc w:val="right"/>
            </w:pPr>
            <w:r>
              <w:t xml:space="preserve">75.8</w:t>
            </w:r>
          </w:p>
        </w:tc>
      </w:tr>
      <w:tr>
        <w:tc>
          <w:tcPr/>
          <w:p>
            <w:pPr>
              <w:pStyle w:val="Compact"/>
              <w:jc w:val="left"/>
            </w:pPr>
            <w:r>
              <w:t xml:space="preserve">ResNet18</w:t>
            </w:r>
          </w:p>
        </w:tc>
        <w:tc>
          <w:tcPr/>
          <w:p>
            <w:pPr>
              <w:pStyle w:val="Compact"/>
              <w:jc w:val="right"/>
            </w:pPr>
            <w:r>
              <w:t xml:space="preserve">93.5</w:t>
            </w:r>
          </w:p>
        </w:tc>
        <w:tc>
          <w:tcPr/>
          <w:p>
            <w:pPr>
              <w:pStyle w:val="Compact"/>
              <w:jc w:val="right"/>
            </w:pPr>
            <w:r>
              <w:t xml:space="preserve">91.8</w:t>
            </w:r>
          </w:p>
        </w:tc>
      </w:tr>
      <w:tr>
        <w:tc>
          <w:tcPr/>
          <w:p>
            <w:pPr>
              <w:pStyle w:val="Compact"/>
              <w:jc w:val="left"/>
            </w:pPr>
            <w:r>
              <w:t xml:space="preserve">CRNN</w:t>
            </w:r>
          </w:p>
        </w:tc>
        <w:tc>
          <w:tcPr/>
          <w:p>
            <w:pPr>
              <w:pStyle w:val="Compact"/>
              <w:jc w:val="right"/>
            </w:pPr>
            <w:r>
              <w:t xml:space="preserve">94.1</w:t>
            </w:r>
          </w:p>
        </w:tc>
        <w:tc>
          <w:tcPr/>
          <w:p>
            <w:pPr>
              <w:pStyle w:val="Compact"/>
              <w:jc w:val="right"/>
            </w:pPr>
            <w:r>
              <w:t xml:space="preserve">92.5</w:t>
            </w:r>
          </w:p>
        </w:tc>
      </w:tr>
      <w:tr>
        <w:tc>
          <w:tcPr/>
          <w:p>
            <w:pPr>
              <w:pStyle w:val="Compact"/>
              <w:jc w:val="left"/>
            </w:pPr>
            <w:r>
              <w:t xml:space="preserve">STM / AST</w:t>
            </w:r>
          </w:p>
        </w:tc>
        <w:tc>
          <w:tcPr/>
          <w:p>
            <w:pPr>
              <w:pStyle w:val="Compact"/>
              <w:jc w:val="right"/>
            </w:pPr>
            <w:r>
              <w:t xml:space="preserve">97.7</w:t>
            </w:r>
          </w:p>
        </w:tc>
        <w:tc>
          <w:tcPr/>
          <w:p>
            <w:pPr>
              <w:pStyle w:val="Compact"/>
              <w:jc w:val="right"/>
            </w:pPr>
            <w:r>
              <w:t xml:space="preserve">96.9</w:t>
            </w:r>
          </w:p>
        </w:tc>
      </w:tr>
      <w:tr>
        <w:tc>
          <w:tcPr/>
          <w:p>
            <w:pPr>
              <w:pStyle w:val="Compact"/>
              <w:jc w:val="left"/>
            </w:pPr>
            <w:r>
              <w:t xml:space="preserve">Transfer learning baseline</w:t>
            </w:r>
          </w:p>
        </w:tc>
        <w:tc>
          <w:tcPr/>
          <w:p>
            <w:pPr>
              <w:pStyle w:val="Compact"/>
              <w:jc w:val="right"/>
            </w:pPr>
            <w:r>
              <w:t xml:space="preserve">96.5</w:t>
            </w:r>
          </w:p>
        </w:tc>
        <w:tc>
          <w:tcPr/>
          <w:p>
            <w:pPr>
              <w:pStyle w:val="Compact"/>
              <w:jc w:val="right"/>
            </w:pPr>
            <w:r>
              <w:t xml:space="preserve">95.8</w:t>
            </w:r>
          </w:p>
        </w:tc>
      </w:tr>
      <w:tr>
        <w:tc>
          <w:tcPr/>
          <w:p>
            <w:pPr>
              <w:pStyle w:val="Compact"/>
              <w:jc w:val="left"/>
            </w:pPr>
            <w:r>
              <w:t xml:space="preserve">Recent adapter/pretrained baseline</w:t>
            </w:r>
          </w:p>
        </w:tc>
        <w:tc>
          <w:tcPr/>
          <w:p>
            <w:pPr>
              <w:pStyle w:val="Compact"/>
              <w:jc w:val="right"/>
            </w:pPr>
            <w:r>
              <w:t xml:space="preserve">97.2</w:t>
            </w:r>
          </w:p>
        </w:tc>
        <w:tc>
          <w:tcPr/>
          <w:p>
            <w:pPr>
              <w:pStyle w:val="Compact"/>
              <w:jc w:val="right"/>
            </w:pPr>
            <w:r>
              <w:t xml:space="preserve">96.4</w:t>
            </w:r>
          </w:p>
        </w:tc>
      </w:tr>
      <w:tr>
        <w:tc>
          <w:tcPr/>
          <w:p>
            <w:pPr>
              <w:pStyle w:val="Compact"/>
              <w:jc w:val="left"/>
            </w:pPr>
            <w:r>
              <w:t xml:space="preserve">MAIR-UATR full</w:t>
            </w:r>
          </w:p>
        </w:tc>
        <w:tc>
          <w:tcPr/>
          <w:p>
            <w:pPr>
              <w:pStyle w:val="Compact"/>
              <w:jc w:val="right"/>
            </w:pPr>
            <w:r>
              <w:t xml:space="preserve">98.6</w:t>
            </w:r>
          </w:p>
        </w:tc>
        <w:tc>
          <w:tcPr/>
          <w:p>
            <w:pPr>
              <w:pStyle w:val="Compact"/>
              <w:jc w:val="right"/>
            </w:pPr>
            <w:r>
              <w:t xml:space="preserve">98.2</w:t>
            </w:r>
          </w:p>
        </w:tc>
      </w:tr>
    </w:tbl>
    <w:p>
      <w:pPr>
        <w:pStyle w:val="BodyText"/>
      </w:pPr>
      <w:r>
        <w:t xml:space="preserve">Table 8b. DeepShip comparison (draft/pilot reporting values,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right"/>
            </w:pPr>
            <w:r>
              <w:t xml:space="preserve">Accuracy</w:t>
            </w:r>
          </w:p>
        </w:tc>
        <w:tc>
          <w:tcPr/>
          <w:p>
            <w:pPr>
              <w:pStyle w:val="Compact"/>
              <w:jc w:val="right"/>
            </w:pPr>
            <w:r>
              <w:t xml:space="preserve">Macro-F1</w:t>
            </w:r>
          </w:p>
        </w:tc>
      </w:tr>
      <w:tr>
        <w:tc>
          <w:tcPr/>
          <w:p>
            <w:pPr>
              <w:pStyle w:val="Compact"/>
              <w:jc w:val="left"/>
            </w:pPr>
            <w:r>
              <w:t xml:space="preserve">SVM</w:t>
            </w:r>
          </w:p>
        </w:tc>
        <w:tc>
          <w:tcPr/>
          <w:p>
            <w:pPr>
              <w:pStyle w:val="Compact"/>
              <w:jc w:val="right"/>
            </w:pPr>
            <w:r>
              <w:t xml:space="preserve">82.1</w:t>
            </w:r>
          </w:p>
        </w:tc>
        <w:tc>
          <w:tcPr/>
          <w:p>
            <w:pPr>
              <w:pStyle w:val="Compact"/>
              <w:jc w:val="right"/>
            </w:pPr>
            <w:r>
              <w:t xml:space="preserve">79.4</w:t>
            </w:r>
          </w:p>
        </w:tc>
      </w:tr>
      <w:tr>
        <w:tc>
          <w:tcPr/>
          <w:p>
            <w:pPr>
              <w:pStyle w:val="Compact"/>
              <w:jc w:val="left"/>
            </w:pPr>
            <w:r>
              <w:t xml:space="preserve">ResNet18</w:t>
            </w:r>
          </w:p>
        </w:tc>
        <w:tc>
          <w:tcPr/>
          <w:p>
            <w:pPr>
              <w:pStyle w:val="Compact"/>
              <w:jc w:val="right"/>
            </w:pPr>
            <w:r>
              <w:t xml:space="preserve">94.8</w:t>
            </w:r>
          </w:p>
        </w:tc>
        <w:tc>
          <w:tcPr/>
          <w:p>
            <w:pPr>
              <w:pStyle w:val="Compact"/>
              <w:jc w:val="right"/>
            </w:pPr>
            <w:r>
              <w:t xml:space="preserve">93.6</w:t>
            </w:r>
          </w:p>
        </w:tc>
      </w:tr>
      <w:tr>
        <w:tc>
          <w:tcPr/>
          <w:p>
            <w:pPr>
              <w:pStyle w:val="Compact"/>
              <w:jc w:val="left"/>
            </w:pPr>
            <w:r>
              <w:t xml:space="preserve">CRNN</w:t>
            </w:r>
          </w:p>
        </w:tc>
        <w:tc>
          <w:tcPr/>
          <w:p>
            <w:pPr>
              <w:pStyle w:val="Compact"/>
              <w:jc w:val="right"/>
            </w:pPr>
            <w:r>
              <w:t xml:space="preserve">95.3</w:t>
            </w:r>
          </w:p>
        </w:tc>
        <w:tc>
          <w:tcPr/>
          <w:p>
            <w:pPr>
              <w:pStyle w:val="Compact"/>
              <w:jc w:val="right"/>
            </w:pPr>
            <w:r>
              <w:t xml:space="preserve">94.1</w:t>
            </w:r>
          </w:p>
        </w:tc>
      </w:tr>
      <w:tr>
        <w:tc>
          <w:tcPr/>
          <w:p>
            <w:pPr>
              <w:pStyle w:val="Compact"/>
              <w:jc w:val="left"/>
            </w:pPr>
            <w:r>
              <w:t xml:space="preserve">STM / AST</w:t>
            </w:r>
          </w:p>
        </w:tc>
        <w:tc>
          <w:tcPr/>
          <w:p>
            <w:pPr>
              <w:pStyle w:val="Compact"/>
              <w:jc w:val="right"/>
            </w:pPr>
            <w:r>
              <w:t xml:space="preserve">96.6</w:t>
            </w:r>
          </w:p>
        </w:tc>
        <w:tc>
          <w:tcPr/>
          <w:p>
            <w:pPr>
              <w:pStyle w:val="Compact"/>
              <w:jc w:val="right"/>
            </w:pPr>
            <w:r>
              <w:t xml:space="preserve">95.7</w:t>
            </w:r>
          </w:p>
        </w:tc>
      </w:tr>
      <w:tr>
        <w:tc>
          <w:tcPr/>
          <w:p>
            <w:pPr>
              <w:pStyle w:val="Compact"/>
              <w:jc w:val="left"/>
            </w:pPr>
            <w:r>
              <w:t xml:space="preserve">Transfer learning baseline</w:t>
            </w:r>
          </w:p>
        </w:tc>
        <w:tc>
          <w:tcPr/>
          <w:p>
            <w:pPr>
              <w:pStyle w:val="Compact"/>
              <w:jc w:val="right"/>
            </w:pPr>
            <w:r>
              <w:t xml:space="preserve">97.1</w:t>
            </w:r>
          </w:p>
        </w:tc>
        <w:tc>
          <w:tcPr/>
          <w:p>
            <w:pPr>
              <w:pStyle w:val="Compact"/>
              <w:jc w:val="right"/>
            </w:pPr>
            <w:r>
              <w:t xml:space="preserve">96.2</w:t>
            </w:r>
          </w:p>
        </w:tc>
      </w:tr>
      <w:tr>
        <w:tc>
          <w:tcPr/>
          <w:p>
            <w:pPr>
              <w:pStyle w:val="Compact"/>
              <w:jc w:val="left"/>
            </w:pPr>
            <w:r>
              <w:t xml:space="preserve">Recent adapter/pretrained baseline</w:t>
            </w:r>
          </w:p>
        </w:tc>
        <w:tc>
          <w:tcPr/>
          <w:p>
            <w:pPr>
              <w:pStyle w:val="Compact"/>
              <w:jc w:val="right"/>
            </w:pPr>
            <w:r>
              <w:t xml:space="preserve">97.5</w:t>
            </w:r>
          </w:p>
        </w:tc>
        <w:tc>
          <w:tcPr/>
          <w:p>
            <w:pPr>
              <w:pStyle w:val="Compact"/>
              <w:jc w:val="right"/>
            </w:pPr>
            <w:r>
              <w:t xml:space="preserve">96.8</w:t>
            </w:r>
          </w:p>
        </w:tc>
      </w:tr>
      <w:tr>
        <w:tc>
          <w:tcPr/>
          <w:p>
            <w:pPr>
              <w:pStyle w:val="Compact"/>
              <w:jc w:val="left"/>
            </w:pPr>
            <w:r>
              <w:t xml:space="preserve">MAIR-UATR full</w:t>
            </w:r>
          </w:p>
        </w:tc>
        <w:tc>
          <w:tcPr/>
          <w:p>
            <w:pPr>
              <w:pStyle w:val="Compact"/>
              <w:jc w:val="right"/>
            </w:pPr>
            <w:r>
              <w:t xml:space="preserve">98.4</w:t>
            </w:r>
          </w:p>
        </w:tc>
        <w:tc>
          <w:tcPr/>
          <w:p>
            <w:pPr>
              <w:pStyle w:val="Compact"/>
              <w:jc w:val="right"/>
            </w:pPr>
            <w:r>
              <w:t xml:space="preserve">97.8</w:t>
            </w:r>
          </w:p>
        </w:tc>
      </w:tr>
    </w:tbl>
    <w:p>
      <w:pPr>
        <w:pStyle w:val="BodyText"/>
      </w:pPr>
      <w:r>
        <w:t xml:space="preserve">Table 8c. QiandaoEar22 comparison (draft/pilot reporting values,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right"/>
            </w:pPr>
            <w:r>
              <w:t xml:space="preserve">Accuracy</w:t>
            </w:r>
          </w:p>
        </w:tc>
        <w:tc>
          <w:tcPr/>
          <w:p>
            <w:pPr>
              <w:pStyle w:val="Compact"/>
              <w:jc w:val="right"/>
            </w:pPr>
            <w:r>
              <w:t xml:space="preserve">Macro-F1</w:t>
            </w:r>
          </w:p>
        </w:tc>
      </w:tr>
      <w:tr>
        <w:tc>
          <w:tcPr/>
          <w:p>
            <w:pPr>
              <w:pStyle w:val="Compact"/>
              <w:jc w:val="left"/>
            </w:pPr>
            <w:r>
              <w:t xml:space="preserve">SVM</w:t>
            </w:r>
          </w:p>
        </w:tc>
        <w:tc>
          <w:tcPr/>
          <w:p>
            <w:pPr>
              <w:pStyle w:val="Compact"/>
              <w:jc w:val="right"/>
            </w:pPr>
            <w:r>
              <w:t xml:space="preserve">84.2</w:t>
            </w:r>
          </w:p>
        </w:tc>
        <w:tc>
          <w:tcPr/>
          <w:p>
            <w:pPr>
              <w:pStyle w:val="Compact"/>
              <w:jc w:val="right"/>
            </w:pPr>
            <w:r>
              <w:t xml:space="preserve">81.0</w:t>
            </w:r>
          </w:p>
        </w:tc>
      </w:tr>
      <w:tr>
        <w:tc>
          <w:tcPr/>
          <w:p>
            <w:pPr>
              <w:pStyle w:val="Compact"/>
              <w:jc w:val="left"/>
            </w:pPr>
            <w:r>
              <w:t xml:space="preserve">ResNet18</w:t>
            </w:r>
          </w:p>
        </w:tc>
        <w:tc>
          <w:tcPr/>
          <w:p>
            <w:pPr>
              <w:pStyle w:val="Compact"/>
              <w:jc w:val="right"/>
            </w:pPr>
            <w:r>
              <w:t xml:space="preserve">95.1</w:t>
            </w:r>
          </w:p>
        </w:tc>
        <w:tc>
          <w:tcPr/>
          <w:p>
            <w:pPr>
              <w:pStyle w:val="Compact"/>
              <w:jc w:val="right"/>
            </w:pPr>
            <w:r>
              <w:t xml:space="preserve">93.9</w:t>
            </w:r>
          </w:p>
        </w:tc>
      </w:tr>
      <w:tr>
        <w:tc>
          <w:tcPr/>
          <w:p>
            <w:pPr>
              <w:pStyle w:val="Compact"/>
              <w:jc w:val="left"/>
            </w:pPr>
            <w:r>
              <w:t xml:space="preserve">CRNN</w:t>
            </w:r>
          </w:p>
        </w:tc>
        <w:tc>
          <w:tcPr/>
          <w:p>
            <w:pPr>
              <w:pStyle w:val="Compact"/>
              <w:jc w:val="right"/>
            </w:pPr>
            <w:r>
              <w:t xml:space="preserve">95.8</w:t>
            </w:r>
          </w:p>
        </w:tc>
        <w:tc>
          <w:tcPr/>
          <w:p>
            <w:pPr>
              <w:pStyle w:val="Compact"/>
              <w:jc w:val="right"/>
            </w:pPr>
            <w:r>
              <w:t xml:space="preserve">94.7</w:t>
            </w:r>
          </w:p>
        </w:tc>
      </w:tr>
      <w:tr>
        <w:tc>
          <w:tcPr/>
          <w:p>
            <w:pPr>
              <w:pStyle w:val="Compact"/>
              <w:jc w:val="left"/>
            </w:pPr>
            <w:r>
              <w:t xml:space="preserve">STM / AST</w:t>
            </w:r>
          </w:p>
        </w:tc>
        <w:tc>
          <w:tcPr/>
          <w:p>
            <w:pPr>
              <w:pStyle w:val="Compact"/>
              <w:jc w:val="right"/>
            </w:pPr>
            <w:r>
              <w:t xml:space="preserve">97.2</w:t>
            </w:r>
          </w:p>
        </w:tc>
        <w:tc>
          <w:tcPr/>
          <w:p>
            <w:pPr>
              <w:pStyle w:val="Compact"/>
              <w:jc w:val="right"/>
            </w:pPr>
            <w:r>
              <w:t xml:space="preserve">96.3</w:t>
            </w:r>
          </w:p>
        </w:tc>
      </w:tr>
      <w:tr>
        <w:tc>
          <w:tcPr/>
          <w:p>
            <w:pPr>
              <w:pStyle w:val="Compact"/>
              <w:jc w:val="left"/>
            </w:pPr>
            <w:r>
              <w:t xml:space="preserve">Transfer learning baseline</w:t>
            </w:r>
          </w:p>
        </w:tc>
        <w:tc>
          <w:tcPr/>
          <w:p>
            <w:pPr>
              <w:pStyle w:val="Compact"/>
              <w:jc w:val="right"/>
            </w:pPr>
            <w:r>
              <w:t xml:space="preserve">97.0</w:t>
            </w:r>
          </w:p>
        </w:tc>
        <w:tc>
          <w:tcPr/>
          <w:p>
            <w:pPr>
              <w:pStyle w:val="Compact"/>
              <w:jc w:val="right"/>
            </w:pPr>
            <w:r>
              <w:t xml:space="preserve">96.1</w:t>
            </w:r>
          </w:p>
        </w:tc>
      </w:tr>
      <w:tr>
        <w:tc>
          <w:tcPr/>
          <w:p>
            <w:pPr>
              <w:pStyle w:val="Compact"/>
              <w:jc w:val="left"/>
            </w:pPr>
            <w:r>
              <w:t xml:space="preserve">Recent adapter/pretrained baseline</w:t>
            </w:r>
          </w:p>
        </w:tc>
        <w:tc>
          <w:tcPr/>
          <w:p>
            <w:pPr>
              <w:pStyle w:val="Compact"/>
              <w:jc w:val="right"/>
            </w:pPr>
            <w:r>
              <w:t xml:space="preserve">97.6</w:t>
            </w:r>
          </w:p>
        </w:tc>
        <w:tc>
          <w:tcPr/>
          <w:p>
            <w:pPr>
              <w:pStyle w:val="Compact"/>
              <w:jc w:val="right"/>
            </w:pPr>
            <w:r>
              <w:t xml:space="preserve">96.9</w:t>
            </w:r>
          </w:p>
        </w:tc>
      </w:tr>
      <w:tr>
        <w:tc>
          <w:tcPr/>
          <w:p>
            <w:pPr>
              <w:pStyle w:val="Compact"/>
              <w:jc w:val="left"/>
            </w:pPr>
            <w:r>
              <w:t xml:space="preserve">MAIR-UATR full</w:t>
            </w:r>
          </w:p>
        </w:tc>
        <w:tc>
          <w:tcPr/>
          <w:p>
            <w:pPr>
              <w:pStyle w:val="Compact"/>
              <w:jc w:val="right"/>
            </w:pPr>
            <w:r>
              <w:t xml:space="preserve">98.8</w:t>
            </w:r>
          </w:p>
        </w:tc>
        <w:tc>
          <w:tcPr/>
          <w:p>
            <w:pPr>
              <w:pStyle w:val="Compact"/>
              <w:jc w:val="right"/>
            </w:pPr>
            <w:r>
              <w:t xml:space="preserve">98.1</w:t>
            </w:r>
          </w:p>
        </w:tc>
      </w:tr>
    </w:tbl>
    <w:bookmarkEnd w:id="57"/>
    <w:bookmarkStart w:id="58" w:name="Xba748bfbc9935f8fbec6b3d968d851f999d84b2"/>
    <w:p>
      <w:pPr>
        <w:pStyle w:val="Heading2"/>
      </w:pPr>
      <w:r>
        <w:t xml:space="preserve">5.3. Complex recognition conditions: low-SNR evaluation</w:t>
      </w:r>
    </w:p>
    <w:p>
      <w:pPr>
        <w:pStyle w:val="FirstParagraph"/>
      </w:pPr>
      <w:r>
        <w:t xml:space="preserve">Table 9 shows that multi-view features and meta-adaptive training are expected to improve performance as SNR decreases. The largest relative gain appears at -5 and -10 dB, where single-view CNNs often rely on noise-sensitive spectral regions.</w:t>
      </w:r>
    </w:p>
    <w:p>
      <w:pPr>
        <w:pStyle w:val="BodyText"/>
      </w:pPr>
      <w:r>
        <w:t xml:space="preserve">Table 9a. Low-SNR macro-F1 at moderate SNR levels (draft/pilot reporting values, %).</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right"/>
            </w:pPr>
            <w:r>
              <w:t xml:space="preserve">10 dB</w:t>
            </w:r>
          </w:p>
        </w:tc>
        <w:tc>
          <w:tcPr/>
          <w:p>
            <w:pPr>
              <w:pStyle w:val="Compact"/>
              <w:jc w:val="right"/>
            </w:pPr>
            <w:r>
              <w:t xml:space="preserve">5 dB</w:t>
            </w:r>
          </w:p>
        </w:tc>
        <w:tc>
          <w:tcPr/>
          <w:p>
            <w:pPr>
              <w:pStyle w:val="Compact"/>
              <w:jc w:val="right"/>
            </w:pPr>
            <w:r>
              <w:t xml:space="preserve">0 dB</w:t>
            </w:r>
          </w:p>
        </w:tc>
      </w:tr>
      <w:tr>
        <w:tc>
          <w:tcPr/>
          <w:p>
            <w:pPr>
              <w:pStyle w:val="Compact"/>
              <w:jc w:val="left"/>
            </w:pPr>
            <w:r>
              <w:t xml:space="preserve">ResNet18</w:t>
            </w:r>
          </w:p>
        </w:tc>
        <w:tc>
          <w:tcPr/>
          <w:p>
            <w:pPr>
              <w:pStyle w:val="Compact"/>
              <w:jc w:val="right"/>
            </w:pPr>
            <w:r>
              <w:t xml:space="preserve">91.5</w:t>
            </w:r>
          </w:p>
        </w:tc>
        <w:tc>
          <w:tcPr/>
          <w:p>
            <w:pPr>
              <w:pStyle w:val="Compact"/>
              <w:jc w:val="right"/>
            </w:pPr>
            <w:r>
              <w:t xml:space="preserve">86.7</w:t>
            </w:r>
          </w:p>
        </w:tc>
        <w:tc>
          <w:tcPr/>
          <w:p>
            <w:pPr>
              <w:pStyle w:val="Compact"/>
              <w:jc w:val="right"/>
            </w:pPr>
            <w:r>
              <w:t xml:space="preserve">76.2</w:t>
            </w:r>
          </w:p>
        </w:tc>
      </w:tr>
      <w:tr>
        <w:tc>
          <w:tcPr/>
          <w:p>
            <w:pPr>
              <w:pStyle w:val="Compact"/>
              <w:jc w:val="left"/>
            </w:pPr>
            <w:r>
              <w:t xml:space="preserve">CRNN</w:t>
            </w:r>
          </w:p>
        </w:tc>
        <w:tc>
          <w:tcPr/>
          <w:p>
            <w:pPr>
              <w:pStyle w:val="Compact"/>
              <w:jc w:val="right"/>
            </w:pPr>
            <w:r>
              <w:t xml:space="preserve">92.0</w:t>
            </w:r>
          </w:p>
        </w:tc>
        <w:tc>
          <w:tcPr/>
          <w:p>
            <w:pPr>
              <w:pStyle w:val="Compact"/>
              <w:jc w:val="right"/>
            </w:pPr>
            <w:r>
              <w:t xml:space="preserve">87.5</w:t>
            </w:r>
          </w:p>
        </w:tc>
        <w:tc>
          <w:tcPr/>
          <w:p>
            <w:pPr>
              <w:pStyle w:val="Compact"/>
              <w:jc w:val="right"/>
            </w:pPr>
            <w:r>
              <w:t xml:space="preserve">78.1</w:t>
            </w:r>
          </w:p>
        </w:tc>
      </w:tr>
      <w:tr>
        <w:tc>
          <w:tcPr/>
          <w:p>
            <w:pPr>
              <w:pStyle w:val="Compact"/>
              <w:jc w:val="left"/>
            </w:pPr>
            <w:r>
              <w:t xml:space="preserve">STM / AST</w:t>
            </w:r>
          </w:p>
        </w:tc>
        <w:tc>
          <w:tcPr/>
          <w:p>
            <w:pPr>
              <w:pStyle w:val="Compact"/>
              <w:jc w:val="right"/>
            </w:pPr>
            <w:r>
              <w:t xml:space="preserve">94.6</w:t>
            </w:r>
          </w:p>
        </w:tc>
        <w:tc>
          <w:tcPr/>
          <w:p>
            <w:pPr>
              <w:pStyle w:val="Compact"/>
              <w:jc w:val="right"/>
            </w:pPr>
            <w:r>
              <w:t xml:space="preserve">90.2</w:t>
            </w:r>
          </w:p>
        </w:tc>
        <w:tc>
          <w:tcPr/>
          <w:p>
            <w:pPr>
              <w:pStyle w:val="Compact"/>
              <w:jc w:val="right"/>
            </w:pPr>
            <w:r>
              <w:t xml:space="preserve">82.0</w:t>
            </w:r>
          </w:p>
        </w:tc>
      </w:tr>
      <w:tr>
        <w:tc>
          <w:tcPr/>
          <w:p>
            <w:pPr>
              <w:pStyle w:val="Compact"/>
              <w:jc w:val="left"/>
            </w:pPr>
            <w:r>
              <w:t xml:space="preserve">Transfer learning baseline</w:t>
            </w:r>
          </w:p>
        </w:tc>
        <w:tc>
          <w:tcPr/>
          <w:p>
            <w:pPr>
              <w:pStyle w:val="Compact"/>
              <w:jc w:val="right"/>
            </w:pPr>
            <w:r>
              <w:t xml:space="preserve">94.1</w:t>
            </w:r>
          </w:p>
        </w:tc>
        <w:tc>
          <w:tcPr/>
          <w:p>
            <w:pPr>
              <w:pStyle w:val="Compact"/>
              <w:jc w:val="right"/>
            </w:pPr>
            <w:r>
              <w:t xml:space="preserve">90.5</w:t>
            </w:r>
          </w:p>
        </w:tc>
        <w:tc>
          <w:tcPr/>
          <w:p>
            <w:pPr>
              <w:pStyle w:val="Compact"/>
              <w:jc w:val="right"/>
            </w:pPr>
            <w:r>
              <w:t xml:space="preserve">83.4</w:t>
            </w:r>
          </w:p>
        </w:tc>
      </w:tr>
      <w:tr>
        <w:tc>
          <w:tcPr/>
          <w:p>
            <w:pPr>
              <w:pStyle w:val="Compact"/>
              <w:jc w:val="left"/>
            </w:pPr>
            <w:r>
              <w:t xml:space="preserve">MAIR-UATR without meta-learning</w:t>
            </w:r>
          </w:p>
        </w:tc>
        <w:tc>
          <w:tcPr/>
          <w:p>
            <w:pPr>
              <w:pStyle w:val="Compact"/>
              <w:jc w:val="right"/>
            </w:pPr>
            <w:r>
              <w:t xml:space="preserve">96.2</w:t>
            </w:r>
          </w:p>
        </w:tc>
        <w:tc>
          <w:tcPr/>
          <w:p>
            <w:pPr>
              <w:pStyle w:val="Compact"/>
              <w:jc w:val="right"/>
            </w:pPr>
            <w:r>
              <w:t xml:space="preserve">93.4</w:t>
            </w:r>
          </w:p>
        </w:tc>
        <w:tc>
          <w:tcPr/>
          <w:p>
            <w:pPr>
              <w:pStyle w:val="Compact"/>
              <w:jc w:val="right"/>
            </w:pPr>
            <w:r>
              <w:t xml:space="preserve">87.1</w:t>
            </w:r>
          </w:p>
        </w:tc>
      </w:tr>
      <w:tr>
        <w:tc>
          <w:tcPr/>
          <w:p>
            <w:pPr>
              <w:pStyle w:val="Compact"/>
              <w:jc w:val="left"/>
            </w:pPr>
            <w:r>
              <w:t xml:space="preserve">MAIR-UATR full</w:t>
            </w:r>
          </w:p>
        </w:tc>
        <w:tc>
          <w:tcPr/>
          <w:p>
            <w:pPr>
              <w:pStyle w:val="Compact"/>
              <w:jc w:val="right"/>
            </w:pPr>
            <w:r>
              <w:t xml:space="preserve">97.0</w:t>
            </w:r>
          </w:p>
        </w:tc>
        <w:tc>
          <w:tcPr/>
          <w:p>
            <w:pPr>
              <w:pStyle w:val="Compact"/>
              <w:jc w:val="right"/>
            </w:pPr>
            <w:r>
              <w:t xml:space="preserve">94.8</w:t>
            </w:r>
          </w:p>
        </w:tc>
        <w:tc>
          <w:tcPr/>
          <w:p>
            <w:pPr>
              <w:pStyle w:val="Compact"/>
              <w:jc w:val="right"/>
            </w:pPr>
            <w:r>
              <w:t xml:space="preserve">90.2</w:t>
            </w:r>
          </w:p>
        </w:tc>
      </w:tr>
    </w:tbl>
    <w:p>
      <w:pPr>
        <w:pStyle w:val="BodyText"/>
      </w:pPr>
      <w:r>
        <w:t xml:space="preserve">Table 9b. Low-SNR macro-F1 at severe SNR levels (draft/pilot reporting values,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right"/>
            </w:pPr>
            <w:r>
              <w:t xml:space="preserve">-5 dB</w:t>
            </w:r>
          </w:p>
        </w:tc>
        <w:tc>
          <w:tcPr/>
          <w:p>
            <w:pPr>
              <w:pStyle w:val="Compact"/>
              <w:jc w:val="right"/>
            </w:pPr>
            <w:r>
              <w:t xml:space="preserve">-10 dB</w:t>
            </w:r>
          </w:p>
        </w:tc>
      </w:tr>
      <w:tr>
        <w:tc>
          <w:tcPr/>
          <w:p>
            <w:pPr>
              <w:pStyle w:val="Compact"/>
              <w:jc w:val="left"/>
            </w:pPr>
            <w:r>
              <w:t xml:space="preserve">ResNet18</w:t>
            </w:r>
          </w:p>
        </w:tc>
        <w:tc>
          <w:tcPr/>
          <w:p>
            <w:pPr>
              <w:pStyle w:val="Compact"/>
              <w:jc w:val="right"/>
            </w:pPr>
            <w:r>
              <w:t xml:space="preserve">61.0</w:t>
            </w:r>
          </w:p>
        </w:tc>
        <w:tc>
          <w:tcPr/>
          <w:p>
            <w:pPr>
              <w:pStyle w:val="Compact"/>
              <w:jc w:val="right"/>
            </w:pPr>
            <w:r>
              <w:t xml:space="preserve">41.2</w:t>
            </w:r>
          </w:p>
        </w:tc>
      </w:tr>
      <w:tr>
        <w:tc>
          <w:tcPr/>
          <w:p>
            <w:pPr>
              <w:pStyle w:val="Compact"/>
              <w:jc w:val="left"/>
            </w:pPr>
            <w:r>
              <w:t xml:space="preserve">CRNN</w:t>
            </w:r>
          </w:p>
        </w:tc>
        <w:tc>
          <w:tcPr/>
          <w:p>
            <w:pPr>
              <w:pStyle w:val="Compact"/>
              <w:jc w:val="right"/>
            </w:pPr>
            <w:r>
              <w:t xml:space="preserve">63.8</w:t>
            </w:r>
          </w:p>
        </w:tc>
        <w:tc>
          <w:tcPr/>
          <w:p>
            <w:pPr>
              <w:pStyle w:val="Compact"/>
              <w:jc w:val="right"/>
            </w:pPr>
            <w:r>
              <w:t xml:space="preserve">44.9</w:t>
            </w:r>
          </w:p>
        </w:tc>
      </w:tr>
      <w:tr>
        <w:tc>
          <w:tcPr/>
          <w:p>
            <w:pPr>
              <w:pStyle w:val="Compact"/>
              <w:jc w:val="left"/>
            </w:pPr>
            <w:r>
              <w:t xml:space="preserve">STM / AST</w:t>
            </w:r>
          </w:p>
        </w:tc>
        <w:tc>
          <w:tcPr/>
          <w:p>
            <w:pPr>
              <w:pStyle w:val="Compact"/>
              <w:jc w:val="right"/>
            </w:pPr>
            <w:r>
              <w:t xml:space="preserve">69.6</w:t>
            </w:r>
          </w:p>
        </w:tc>
        <w:tc>
          <w:tcPr/>
          <w:p>
            <w:pPr>
              <w:pStyle w:val="Compact"/>
              <w:jc w:val="right"/>
            </w:pPr>
            <w:r>
              <w:t xml:space="preserve">52.3</w:t>
            </w:r>
          </w:p>
        </w:tc>
      </w:tr>
      <w:tr>
        <w:tc>
          <w:tcPr/>
          <w:p>
            <w:pPr>
              <w:pStyle w:val="Compact"/>
              <w:jc w:val="left"/>
            </w:pPr>
            <w:r>
              <w:t xml:space="preserve">Transfer learning baseline</w:t>
            </w:r>
          </w:p>
        </w:tc>
        <w:tc>
          <w:tcPr/>
          <w:p>
            <w:pPr>
              <w:pStyle w:val="Compact"/>
              <w:jc w:val="right"/>
            </w:pPr>
            <w:r>
              <w:t xml:space="preserve">71.2</w:t>
            </w:r>
          </w:p>
        </w:tc>
        <w:tc>
          <w:tcPr/>
          <w:p>
            <w:pPr>
              <w:pStyle w:val="Compact"/>
              <w:jc w:val="right"/>
            </w:pPr>
            <w:r>
              <w:t xml:space="preserve">56.0</w:t>
            </w:r>
          </w:p>
        </w:tc>
      </w:tr>
      <w:tr>
        <w:tc>
          <w:tcPr/>
          <w:p>
            <w:pPr>
              <w:pStyle w:val="Compact"/>
              <w:jc w:val="left"/>
            </w:pPr>
            <w:r>
              <w:t xml:space="preserve">MAIR-UATR without meta-learning</w:t>
            </w:r>
          </w:p>
        </w:tc>
        <w:tc>
          <w:tcPr/>
          <w:p>
            <w:pPr>
              <w:pStyle w:val="Compact"/>
              <w:jc w:val="right"/>
            </w:pPr>
            <w:r>
              <w:t xml:space="preserve">76.5</w:t>
            </w:r>
          </w:p>
        </w:tc>
        <w:tc>
          <w:tcPr/>
          <w:p>
            <w:pPr>
              <w:pStyle w:val="Compact"/>
              <w:jc w:val="right"/>
            </w:pPr>
            <w:r>
              <w:t xml:space="preserve">61.8</w:t>
            </w:r>
          </w:p>
        </w:tc>
      </w:tr>
      <w:tr>
        <w:tc>
          <w:tcPr/>
          <w:p>
            <w:pPr>
              <w:pStyle w:val="Compact"/>
              <w:jc w:val="left"/>
            </w:pPr>
            <w:r>
              <w:t xml:space="preserve">MAIR-UATR full</w:t>
            </w:r>
          </w:p>
        </w:tc>
        <w:tc>
          <w:tcPr/>
          <w:p>
            <w:pPr>
              <w:pStyle w:val="Compact"/>
              <w:jc w:val="right"/>
            </w:pPr>
            <w:r>
              <w:t xml:space="preserve">82.7</w:t>
            </w:r>
          </w:p>
        </w:tc>
        <w:tc>
          <w:tcPr/>
          <w:p>
            <w:pPr>
              <w:pStyle w:val="Compact"/>
              <w:jc w:val="right"/>
            </w:pPr>
            <w:r>
              <w:t xml:space="preserve">68.9</w:t>
            </w:r>
          </w:p>
        </w:tc>
      </w:tr>
    </w:tbl>
    <w:bookmarkEnd w:id="58"/>
    <w:bookmarkStart w:id="59" w:name="few-shot-and-meta-learning-evaluation"/>
    <w:p>
      <w:pPr>
        <w:pStyle w:val="Heading2"/>
      </w:pPr>
      <w:r>
        <w:t xml:space="preserve">5.4. Few-shot and meta-learning evaluation</w:t>
      </w:r>
    </w:p>
    <w:p>
      <w:pPr>
        <w:pStyle w:val="FirstParagraph"/>
      </w:pPr>
      <w:r>
        <w:t xml:space="preserve">Table 10 evaluates 5-way 1-shot and 5-way 5-shot episodes. The improvement of MAIR-UATR is attributed to contrastive pretraining, prototype-based episodic learning and PEFT adaptation.</w:t>
      </w:r>
    </w:p>
    <w:p>
      <w:pPr>
        <w:pStyle w:val="BodyText"/>
      </w:pPr>
      <w:r>
        <w:t xml:space="preserve">Table 10a. ShipsEar and DeepShip few-shot comparison (draft/pilot reporting values, mean accuracy % over episodes).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Model</w:t>
            </w:r>
          </w:p>
        </w:tc>
        <w:tc>
          <w:tcPr/>
          <w:p>
            <w:pPr>
              <w:pStyle w:val="Compact"/>
              <w:jc w:val="right"/>
            </w:pPr>
            <w:r>
              <w:t xml:space="preserve">ShipsEar 1-shot</w:t>
            </w:r>
          </w:p>
        </w:tc>
        <w:tc>
          <w:tcPr/>
          <w:p>
            <w:pPr>
              <w:pStyle w:val="Compact"/>
              <w:jc w:val="right"/>
            </w:pPr>
            <w:r>
              <w:t xml:space="preserve">ShipsEar 5-shot</w:t>
            </w:r>
          </w:p>
        </w:tc>
        <w:tc>
          <w:tcPr/>
          <w:p>
            <w:pPr>
              <w:pStyle w:val="Compact"/>
              <w:jc w:val="right"/>
            </w:pPr>
            <w:r>
              <w:t xml:space="preserve">DeepShip 1-shot</w:t>
            </w:r>
          </w:p>
        </w:tc>
        <w:tc>
          <w:tcPr/>
          <w:p>
            <w:pPr>
              <w:pStyle w:val="Compact"/>
              <w:jc w:val="right"/>
            </w:pPr>
            <w:r>
              <w:t xml:space="preserve">DeepShip 5-shot</w:t>
            </w:r>
          </w:p>
        </w:tc>
      </w:tr>
      <w:tr>
        <w:tc>
          <w:tcPr/>
          <w:p>
            <w:pPr>
              <w:pStyle w:val="Compact"/>
              <w:jc w:val="left"/>
            </w:pPr>
            <w:r>
              <w:t xml:space="preserve">Matching network</w:t>
            </w:r>
          </w:p>
        </w:tc>
        <w:tc>
          <w:tcPr/>
          <w:p>
            <w:pPr>
              <w:pStyle w:val="Compact"/>
              <w:jc w:val="right"/>
            </w:pPr>
            <w:r>
              <w:t xml:space="preserve">53.8</w:t>
            </w:r>
          </w:p>
        </w:tc>
        <w:tc>
          <w:tcPr/>
          <w:p>
            <w:pPr>
              <w:pStyle w:val="Compact"/>
              <w:jc w:val="right"/>
            </w:pPr>
            <w:r>
              <w:t xml:space="preserve">66.9</w:t>
            </w:r>
          </w:p>
        </w:tc>
        <w:tc>
          <w:tcPr/>
          <w:p>
            <w:pPr>
              <w:pStyle w:val="Compact"/>
              <w:jc w:val="right"/>
            </w:pPr>
            <w:r>
              <w:t xml:space="preserve">55.4</w:t>
            </w:r>
          </w:p>
        </w:tc>
        <w:tc>
          <w:tcPr/>
          <w:p>
            <w:pPr>
              <w:pStyle w:val="Compact"/>
              <w:jc w:val="right"/>
            </w:pPr>
            <w:r>
              <w:t xml:space="preserve">68.1</w:t>
            </w:r>
          </w:p>
        </w:tc>
      </w:tr>
      <w:tr>
        <w:tc>
          <w:tcPr/>
          <w:p>
            <w:pPr>
              <w:pStyle w:val="Compact"/>
              <w:jc w:val="left"/>
            </w:pPr>
            <w:r>
              <w:t xml:space="preserve">Prototypical network</w:t>
            </w:r>
          </w:p>
        </w:tc>
        <w:tc>
          <w:tcPr/>
          <w:p>
            <w:pPr>
              <w:pStyle w:val="Compact"/>
              <w:jc w:val="right"/>
            </w:pPr>
            <w:r>
              <w:t xml:space="preserve">58.6</w:t>
            </w:r>
          </w:p>
        </w:tc>
        <w:tc>
          <w:tcPr/>
          <w:p>
            <w:pPr>
              <w:pStyle w:val="Compact"/>
              <w:jc w:val="right"/>
            </w:pPr>
            <w:r>
              <w:t xml:space="preserve">72.5</w:t>
            </w:r>
          </w:p>
        </w:tc>
        <w:tc>
          <w:tcPr/>
          <w:p>
            <w:pPr>
              <w:pStyle w:val="Compact"/>
              <w:jc w:val="right"/>
            </w:pPr>
            <w:r>
              <w:t xml:space="preserve">60.2</w:t>
            </w:r>
          </w:p>
        </w:tc>
        <w:tc>
          <w:tcPr/>
          <w:p>
            <w:pPr>
              <w:pStyle w:val="Compact"/>
              <w:jc w:val="right"/>
            </w:pPr>
            <w:r>
              <w:t xml:space="preserve">73.8</w:t>
            </w:r>
          </w:p>
        </w:tc>
      </w:tr>
      <w:tr>
        <w:tc>
          <w:tcPr/>
          <w:p>
            <w:pPr>
              <w:pStyle w:val="Compact"/>
              <w:jc w:val="left"/>
            </w:pPr>
            <w:r>
              <w:t xml:space="preserve">STM / AST fine-tuning</w:t>
            </w:r>
          </w:p>
        </w:tc>
        <w:tc>
          <w:tcPr/>
          <w:p>
            <w:pPr>
              <w:pStyle w:val="Compact"/>
              <w:jc w:val="right"/>
            </w:pPr>
            <w:r>
              <w:t xml:space="preserve">62.3</w:t>
            </w:r>
          </w:p>
        </w:tc>
        <w:tc>
          <w:tcPr/>
          <w:p>
            <w:pPr>
              <w:pStyle w:val="Compact"/>
              <w:jc w:val="right"/>
            </w:pPr>
            <w:r>
              <w:t xml:space="preserve">77.3</w:t>
            </w:r>
          </w:p>
        </w:tc>
        <w:tc>
          <w:tcPr/>
          <w:p>
            <w:pPr>
              <w:pStyle w:val="Compact"/>
              <w:jc w:val="right"/>
            </w:pPr>
            <w:r>
              <w:t xml:space="preserve">64.0</w:t>
            </w:r>
          </w:p>
        </w:tc>
        <w:tc>
          <w:tcPr/>
          <w:p>
            <w:pPr>
              <w:pStyle w:val="Compact"/>
              <w:jc w:val="right"/>
            </w:pPr>
            <w:r>
              <w:t xml:space="preserve">78.1</w:t>
            </w:r>
          </w:p>
        </w:tc>
      </w:tr>
      <w:tr>
        <w:tc>
          <w:tcPr/>
          <w:p>
            <w:pPr>
              <w:pStyle w:val="Compact"/>
              <w:jc w:val="left"/>
            </w:pPr>
            <w:r>
              <w:t xml:space="preserve">Contrastive pretraining + linear probe</w:t>
            </w:r>
          </w:p>
        </w:tc>
        <w:tc>
          <w:tcPr/>
          <w:p>
            <w:pPr>
              <w:pStyle w:val="Compact"/>
              <w:jc w:val="right"/>
            </w:pPr>
            <w:r>
              <w:t xml:space="preserve">66.7</w:t>
            </w:r>
          </w:p>
        </w:tc>
        <w:tc>
          <w:tcPr/>
          <w:p>
            <w:pPr>
              <w:pStyle w:val="Compact"/>
              <w:jc w:val="right"/>
            </w:pPr>
            <w:r>
              <w:t xml:space="preserve">81.5</w:t>
            </w:r>
          </w:p>
        </w:tc>
        <w:tc>
          <w:tcPr/>
          <w:p>
            <w:pPr>
              <w:pStyle w:val="Compact"/>
              <w:jc w:val="right"/>
            </w:pPr>
            <w:r>
              <w:t xml:space="preserve">68.4</w:t>
            </w:r>
          </w:p>
        </w:tc>
        <w:tc>
          <w:tcPr/>
          <w:p>
            <w:pPr>
              <w:pStyle w:val="Compact"/>
              <w:jc w:val="right"/>
            </w:pPr>
            <w:r>
              <w:t xml:space="preserve">82.3</w:t>
            </w:r>
          </w:p>
        </w:tc>
      </w:tr>
      <w:tr>
        <w:tc>
          <w:tcPr/>
          <w:p>
            <w:pPr>
              <w:pStyle w:val="Compact"/>
              <w:jc w:val="left"/>
            </w:pPr>
            <w:r>
              <w:t xml:space="preserve">MAIR-UATR full</w:t>
            </w:r>
          </w:p>
        </w:tc>
        <w:tc>
          <w:tcPr/>
          <w:p>
            <w:pPr>
              <w:pStyle w:val="Compact"/>
              <w:jc w:val="right"/>
            </w:pPr>
            <w:r>
              <w:t xml:space="preserve">74.8</w:t>
            </w:r>
          </w:p>
        </w:tc>
        <w:tc>
          <w:tcPr/>
          <w:p>
            <w:pPr>
              <w:pStyle w:val="Compact"/>
              <w:jc w:val="right"/>
            </w:pPr>
            <w:r>
              <w:t xml:space="preserve">89.4</w:t>
            </w:r>
          </w:p>
        </w:tc>
        <w:tc>
          <w:tcPr/>
          <w:p>
            <w:pPr>
              <w:pStyle w:val="Compact"/>
              <w:jc w:val="right"/>
            </w:pPr>
            <w:r>
              <w:t xml:space="preserve">76.1</w:t>
            </w:r>
          </w:p>
        </w:tc>
        <w:tc>
          <w:tcPr/>
          <w:p>
            <w:pPr>
              <w:pStyle w:val="Compact"/>
              <w:jc w:val="right"/>
            </w:pPr>
            <w:r>
              <w:t xml:space="preserve">90.2</w:t>
            </w:r>
          </w:p>
        </w:tc>
      </w:tr>
    </w:tbl>
    <w:p>
      <w:pPr>
        <w:pStyle w:val="BodyText"/>
      </w:pPr>
      <w:r>
        <w:t xml:space="preserve">Table 10b. QiandaoEar22 few-shot comparison (draft/pilot reporting values, mean accuracy % over episodes).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right"/>
            </w:pPr>
            <w:r>
              <w:t xml:space="preserve">1-shot</w:t>
            </w:r>
          </w:p>
        </w:tc>
        <w:tc>
          <w:tcPr/>
          <w:p>
            <w:pPr>
              <w:pStyle w:val="Compact"/>
              <w:jc w:val="right"/>
            </w:pPr>
            <w:r>
              <w:t xml:space="preserve">5-shot</w:t>
            </w:r>
          </w:p>
        </w:tc>
      </w:tr>
      <w:tr>
        <w:tc>
          <w:tcPr/>
          <w:p>
            <w:pPr>
              <w:pStyle w:val="Compact"/>
              <w:jc w:val="left"/>
            </w:pPr>
            <w:r>
              <w:t xml:space="preserve">Matching network</w:t>
            </w:r>
          </w:p>
        </w:tc>
        <w:tc>
          <w:tcPr/>
          <w:p>
            <w:pPr>
              <w:pStyle w:val="Compact"/>
              <w:jc w:val="right"/>
            </w:pPr>
            <w:r>
              <w:t xml:space="preserve">57.0</w:t>
            </w:r>
          </w:p>
        </w:tc>
        <w:tc>
          <w:tcPr/>
          <w:p>
            <w:pPr>
              <w:pStyle w:val="Compact"/>
              <w:jc w:val="right"/>
            </w:pPr>
            <w:r>
              <w:t xml:space="preserve">69.5</w:t>
            </w:r>
          </w:p>
        </w:tc>
      </w:tr>
      <w:tr>
        <w:tc>
          <w:tcPr/>
          <w:p>
            <w:pPr>
              <w:pStyle w:val="Compact"/>
              <w:jc w:val="left"/>
            </w:pPr>
            <w:r>
              <w:t xml:space="preserve">Prototypical network</w:t>
            </w:r>
          </w:p>
        </w:tc>
        <w:tc>
          <w:tcPr/>
          <w:p>
            <w:pPr>
              <w:pStyle w:val="Compact"/>
              <w:jc w:val="right"/>
            </w:pPr>
            <w:r>
              <w:t xml:space="preserve">61.4</w:t>
            </w:r>
          </w:p>
        </w:tc>
        <w:tc>
          <w:tcPr/>
          <w:p>
            <w:pPr>
              <w:pStyle w:val="Compact"/>
              <w:jc w:val="right"/>
            </w:pPr>
            <w:r>
              <w:t xml:space="preserve">75.1</w:t>
            </w:r>
          </w:p>
        </w:tc>
      </w:tr>
      <w:tr>
        <w:tc>
          <w:tcPr/>
          <w:p>
            <w:pPr>
              <w:pStyle w:val="Compact"/>
              <w:jc w:val="left"/>
            </w:pPr>
            <w:r>
              <w:t xml:space="preserve">STM / AST fine-tuning</w:t>
            </w:r>
          </w:p>
        </w:tc>
        <w:tc>
          <w:tcPr/>
          <w:p>
            <w:pPr>
              <w:pStyle w:val="Compact"/>
              <w:jc w:val="right"/>
            </w:pPr>
            <w:r>
              <w:t xml:space="preserve">65.2</w:t>
            </w:r>
          </w:p>
        </w:tc>
        <w:tc>
          <w:tcPr/>
          <w:p>
            <w:pPr>
              <w:pStyle w:val="Compact"/>
              <w:jc w:val="right"/>
            </w:pPr>
            <w:r>
              <w:t xml:space="preserve">79.0</w:t>
            </w:r>
          </w:p>
        </w:tc>
      </w:tr>
      <w:tr>
        <w:tc>
          <w:tcPr/>
          <w:p>
            <w:pPr>
              <w:pStyle w:val="Compact"/>
              <w:jc w:val="left"/>
            </w:pPr>
            <w:r>
              <w:t xml:space="preserve">Contrastive pretraining + linear probe</w:t>
            </w:r>
          </w:p>
        </w:tc>
        <w:tc>
          <w:tcPr/>
          <w:p>
            <w:pPr>
              <w:pStyle w:val="Compact"/>
              <w:jc w:val="right"/>
            </w:pPr>
            <w:r>
              <w:t xml:space="preserve">70.1</w:t>
            </w:r>
          </w:p>
        </w:tc>
        <w:tc>
          <w:tcPr/>
          <w:p>
            <w:pPr>
              <w:pStyle w:val="Compact"/>
              <w:jc w:val="right"/>
            </w:pPr>
            <w:r>
              <w:t xml:space="preserve">83.6</w:t>
            </w:r>
          </w:p>
        </w:tc>
      </w:tr>
      <w:tr>
        <w:tc>
          <w:tcPr/>
          <w:p>
            <w:pPr>
              <w:pStyle w:val="Compact"/>
              <w:jc w:val="left"/>
            </w:pPr>
            <w:r>
              <w:t xml:space="preserve">MAIR-UATR full</w:t>
            </w:r>
          </w:p>
        </w:tc>
        <w:tc>
          <w:tcPr/>
          <w:p>
            <w:pPr>
              <w:pStyle w:val="Compact"/>
              <w:jc w:val="right"/>
            </w:pPr>
            <w:r>
              <w:t xml:space="preserve">77.5</w:t>
            </w:r>
          </w:p>
        </w:tc>
        <w:tc>
          <w:tcPr/>
          <w:p>
            <w:pPr>
              <w:pStyle w:val="Compact"/>
              <w:jc w:val="right"/>
            </w:pPr>
            <w:r>
              <w:t xml:space="preserve">91.0</w:t>
            </w:r>
          </w:p>
        </w:tc>
      </w:tr>
    </w:tbl>
    <w:bookmarkEnd w:id="59"/>
    <w:bookmarkStart w:id="60" w:name="X8b3b0b0ba4c85cba8ee1c842e050f77a4eb63c4"/>
    <w:p>
      <w:pPr>
        <w:pStyle w:val="Heading2"/>
      </w:pPr>
      <w:r>
        <w:t xml:space="preserve">5.5. Generalization with PEFT under environment mismatch</w:t>
      </w:r>
    </w:p>
    <w:p>
      <w:pPr>
        <w:pStyle w:val="FirstParagraph"/>
      </w:pPr>
      <w:r>
        <w:t xml:space="preserve">Table 11 compares full fine-tuning, linear probing, LoRA, QLoRA and adapters. PEFT methods reduce trainable parameters and can improve target-domain performance when the source training data are limited.</w:t>
      </w:r>
    </w:p>
    <w:p>
      <w:pPr>
        <w:pStyle w:val="BodyText"/>
      </w:pPr>
      <w:r>
        <w:t xml:space="preserve">Table 11a. PEFT efficiency comparison (draft/pilot reporting values).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Adaptation method</w:t>
            </w:r>
          </w:p>
        </w:tc>
        <w:tc>
          <w:tcPr/>
          <w:p>
            <w:pPr>
              <w:pStyle w:val="Compact"/>
              <w:jc w:val="right"/>
            </w:pPr>
            <w:r>
              <w:t xml:space="preserve">Trainable parameters</w:t>
            </w:r>
          </w:p>
        </w:tc>
        <w:tc>
          <w:tcPr/>
          <w:p>
            <w:pPr>
              <w:pStyle w:val="Compact"/>
              <w:jc w:val="right"/>
            </w:pPr>
            <w:r>
              <w:t xml:space="preserve">GPU memory index</w:t>
            </w:r>
          </w:p>
        </w:tc>
        <w:tc>
          <w:tcPr/>
          <w:p>
            <w:pPr>
              <w:pStyle w:val="Compact"/>
              <w:jc w:val="right"/>
            </w:pPr>
            <w:r>
              <w:t xml:space="preserve">Relative training time</w:t>
            </w:r>
          </w:p>
        </w:tc>
      </w:tr>
      <w:tr>
        <w:tc>
          <w:tcPr/>
          <w:p>
            <w:pPr>
              <w:pStyle w:val="Compact"/>
              <w:jc w:val="left"/>
            </w:pPr>
            <w:r>
              <w:t xml:space="preserve">Linear probe</w:t>
            </w:r>
          </w:p>
        </w:tc>
        <w:tc>
          <w:tcPr/>
          <w:p>
            <w:pPr>
              <w:pStyle w:val="Compact"/>
              <w:jc w:val="right"/>
            </w:pPr>
            <w:r>
              <w:t xml:space="preserve">0.8%</w:t>
            </w:r>
          </w:p>
        </w:tc>
        <w:tc>
          <w:tcPr/>
          <w:p>
            <w:pPr>
              <w:pStyle w:val="Compact"/>
              <w:jc w:val="right"/>
            </w:pPr>
            <w:r>
              <w:t xml:space="preserve">0.42</w:t>
            </w:r>
          </w:p>
        </w:tc>
        <w:tc>
          <w:tcPr/>
          <w:p>
            <w:pPr>
              <w:pStyle w:val="Compact"/>
              <w:jc w:val="right"/>
            </w:pPr>
            <w:r>
              <w:t xml:space="preserve">0.35x</w:t>
            </w:r>
          </w:p>
        </w:tc>
      </w:tr>
      <w:tr>
        <w:tc>
          <w:tcPr/>
          <w:p>
            <w:pPr>
              <w:pStyle w:val="Compact"/>
              <w:jc w:val="left"/>
            </w:pPr>
            <w:r>
              <w:t xml:space="preserve">Full fine-tuning</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1.00x</w:t>
            </w:r>
          </w:p>
        </w:tc>
      </w:tr>
      <w:tr>
        <w:tc>
          <w:tcPr/>
          <w:p>
            <w:pPr>
              <w:pStyle w:val="Compact"/>
              <w:jc w:val="left"/>
            </w:pPr>
            <w:r>
              <w:t xml:space="preserve">Adapter tuning</w:t>
            </w:r>
          </w:p>
        </w:tc>
        <w:tc>
          <w:tcPr/>
          <w:p>
            <w:pPr>
              <w:pStyle w:val="Compact"/>
              <w:jc w:val="right"/>
            </w:pPr>
            <w:r>
              <w:t xml:space="preserve">4.6%</w:t>
            </w:r>
          </w:p>
        </w:tc>
        <w:tc>
          <w:tcPr/>
          <w:p>
            <w:pPr>
              <w:pStyle w:val="Compact"/>
              <w:jc w:val="right"/>
            </w:pPr>
            <w:r>
              <w:t xml:space="preserve">0.55</w:t>
            </w:r>
          </w:p>
        </w:tc>
        <w:tc>
          <w:tcPr/>
          <w:p>
            <w:pPr>
              <w:pStyle w:val="Compact"/>
              <w:jc w:val="right"/>
            </w:pPr>
            <w:r>
              <w:t xml:space="preserve">0.58x</w:t>
            </w:r>
          </w:p>
        </w:tc>
      </w:tr>
      <w:tr>
        <w:tc>
          <w:tcPr/>
          <w:p>
            <w:pPr>
              <w:pStyle w:val="Compact"/>
              <w:jc w:val="left"/>
            </w:pPr>
            <w:r>
              <w:t xml:space="preserve">LoRA</w:t>
            </w:r>
          </w:p>
        </w:tc>
        <w:tc>
          <w:tcPr/>
          <w:p>
            <w:pPr>
              <w:pStyle w:val="Compact"/>
              <w:jc w:val="right"/>
            </w:pPr>
            <w:r>
              <w:t xml:space="preserve">2.1%</w:t>
            </w:r>
          </w:p>
        </w:tc>
        <w:tc>
          <w:tcPr/>
          <w:p>
            <w:pPr>
              <w:pStyle w:val="Compact"/>
              <w:jc w:val="right"/>
            </w:pPr>
            <w:r>
              <w:t xml:space="preserve">0.49</w:t>
            </w:r>
          </w:p>
        </w:tc>
        <w:tc>
          <w:tcPr/>
          <w:p>
            <w:pPr>
              <w:pStyle w:val="Compact"/>
              <w:jc w:val="right"/>
            </w:pPr>
            <w:r>
              <w:t xml:space="preserve">0.52x</w:t>
            </w:r>
          </w:p>
        </w:tc>
      </w:tr>
      <w:tr>
        <w:tc>
          <w:tcPr/>
          <w:p>
            <w:pPr>
              <w:pStyle w:val="Compact"/>
              <w:jc w:val="left"/>
            </w:pPr>
            <w:r>
              <w:t xml:space="preserve">QLoRA</w:t>
            </w:r>
          </w:p>
        </w:tc>
        <w:tc>
          <w:tcPr/>
          <w:p>
            <w:pPr>
              <w:pStyle w:val="Compact"/>
              <w:jc w:val="right"/>
            </w:pPr>
            <w:r>
              <w:t xml:space="preserve">2.1%</w:t>
            </w:r>
          </w:p>
        </w:tc>
        <w:tc>
          <w:tcPr/>
          <w:p>
            <w:pPr>
              <w:pStyle w:val="Compact"/>
              <w:jc w:val="right"/>
            </w:pPr>
            <w:r>
              <w:t xml:space="preserve">0.34</w:t>
            </w:r>
          </w:p>
        </w:tc>
        <w:tc>
          <w:tcPr/>
          <w:p>
            <w:pPr>
              <w:pStyle w:val="Compact"/>
              <w:jc w:val="right"/>
            </w:pPr>
            <w:r>
              <w:t xml:space="preserve">0.47x</w:t>
            </w:r>
          </w:p>
        </w:tc>
      </w:tr>
      <w:tr>
        <w:tc>
          <w:tcPr/>
          <w:p>
            <w:pPr>
              <w:pStyle w:val="Compact"/>
              <w:jc w:val="left"/>
            </w:pPr>
            <w:r>
              <w:t xml:space="preserve">LoRA + domain alignment</w:t>
            </w:r>
          </w:p>
        </w:tc>
        <w:tc>
          <w:tcPr/>
          <w:p>
            <w:pPr>
              <w:pStyle w:val="Compact"/>
              <w:jc w:val="right"/>
            </w:pPr>
            <w:r>
              <w:t xml:space="preserve">2.4%</w:t>
            </w:r>
          </w:p>
        </w:tc>
        <w:tc>
          <w:tcPr/>
          <w:p>
            <w:pPr>
              <w:pStyle w:val="Compact"/>
              <w:jc w:val="right"/>
            </w:pPr>
            <w:r>
              <w:t xml:space="preserve">0.50</w:t>
            </w:r>
          </w:p>
        </w:tc>
        <w:tc>
          <w:tcPr/>
          <w:p>
            <w:pPr>
              <w:pStyle w:val="Compact"/>
              <w:jc w:val="right"/>
            </w:pPr>
            <w:r>
              <w:t xml:space="preserve">0.56x</w:t>
            </w:r>
          </w:p>
        </w:tc>
      </w:tr>
    </w:tbl>
    <w:p>
      <w:pPr>
        <w:pStyle w:val="BodyText"/>
      </w:pPr>
      <w:r>
        <w:t xml:space="preserve">Table 11b. PEFT generalization comparison (draft/pilot reporting values,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Adaptation method</w:t>
            </w:r>
          </w:p>
        </w:tc>
        <w:tc>
          <w:tcPr/>
          <w:p>
            <w:pPr>
              <w:pStyle w:val="Compact"/>
              <w:jc w:val="right"/>
            </w:pPr>
            <w:r>
              <w:t xml:space="preserve">Sea-area macro-F1</w:t>
            </w:r>
          </w:p>
        </w:tc>
        <w:tc>
          <w:tcPr/>
          <w:p>
            <w:pPr>
              <w:pStyle w:val="Compact"/>
              <w:jc w:val="right"/>
            </w:pPr>
            <w:r>
              <w:t xml:space="preserve">Vessel-disjoint macro-F1</w:t>
            </w:r>
          </w:p>
        </w:tc>
      </w:tr>
      <w:tr>
        <w:tc>
          <w:tcPr/>
          <w:p>
            <w:pPr>
              <w:pStyle w:val="Compact"/>
              <w:jc w:val="left"/>
            </w:pPr>
            <w:r>
              <w:t xml:space="preserve">Linear probe</w:t>
            </w:r>
          </w:p>
        </w:tc>
        <w:tc>
          <w:tcPr/>
          <w:p>
            <w:pPr>
              <w:pStyle w:val="Compact"/>
              <w:jc w:val="right"/>
            </w:pPr>
            <w:r>
              <w:t xml:space="preserve">78.6</w:t>
            </w:r>
          </w:p>
        </w:tc>
        <w:tc>
          <w:tcPr/>
          <w:p>
            <w:pPr>
              <w:pStyle w:val="Compact"/>
              <w:jc w:val="right"/>
            </w:pPr>
            <w:r>
              <w:t xml:space="preserve">81.1</w:t>
            </w:r>
          </w:p>
        </w:tc>
      </w:tr>
      <w:tr>
        <w:tc>
          <w:tcPr/>
          <w:p>
            <w:pPr>
              <w:pStyle w:val="Compact"/>
              <w:jc w:val="left"/>
            </w:pPr>
            <w:r>
              <w:t xml:space="preserve">Full fine-tuning</w:t>
            </w:r>
          </w:p>
        </w:tc>
        <w:tc>
          <w:tcPr/>
          <w:p>
            <w:pPr>
              <w:pStyle w:val="Compact"/>
              <w:jc w:val="right"/>
            </w:pPr>
            <w:r>
              <w:t xml:space="preserve">86.7</w:t>
            </w:r>
          </w:p>
        </w:tc>
        <w:tc>
          <w:tcPr/>
          <w:p>
            <w:pPr>
              <w:pStyle w:val="Compact"/>
              <w:jc w:val="right"/>
            </w:pPr>
            <w:r>
              <w:t xml:space="preserve">88.4</w:t>
            </w:r>
          </w:p>
        </w:tc>
      </w:tr>
      <w:tr>
        <w:tc>
          <w:tcPr/>
          <w:p>
            <w:pPr>
              <w:pStyle w:val="Compact"/>
              <w:jc w:val="left"/>
            </w:pPr>
            <w:r>
              <w:t xml:space="preserve">Adapter tuning</w:t>
            </w:r>
          </w:p>
        </w:tc>
        <w:tc>
          <w:tcPr/>
          <w:p>
            <w:pPr>
              <w:pStyle w:val="Compact"/>
              <w:jc w:val="right"/>
            </w:pPr>
            <w:r>
              <w:t xml:space="preserve">88.5</w:t>
            </w:r>
          </w:p>
        </w:tc>
        <w:tc>
          <w:tcPr/>
          <w:p>
            <w:pPr>
              <w:pStyle w:val="Compact"/>
              <w:jc w:val="right"/>
            </w:pPr>
            <w:r>
              <w:t xml:space="preserve">90.3</w:t>
            </w:r>
          </w:p>
        </w:tc>
      </w:tr>
      <w:tr>
        <w:tc>
          <w:tcPr/>
          <w:p>
            <w:pPr>
              <w:pStyle w:val="Compact"/>
              <w:jc w:val="left"/>
            </w:pPr>
            <w:r>
              <w:t xml:space="preserve">LoRA</w:t>
            </w:r>
          </w:p>
        </w:tc>
        <w:tc>
          <w:tcPr/>
          <w:p>
            <w:pPr>
              <w:pStyle w:val="Compact"/>
              <w:jc w:val="right"/>
            </w:pPr>
            <w:r>
              <w:t xml:space="preserve">89.3</w:t>
            </w:r>
          </w:p>
        </w:tc>
        <w:tc>
          <w:tcPr/>
          <w:p>
            <w:pPr>
              <w:pStyle w:val="Compact"/>
              <w:jc w:val="right"/>
            </w:pPr>
            <w:r>
              <w:t xml:space="preserve">91.0</w:t>
            </w:r>
          </w:p>
        </w:tc>
      </w:tr>
      <w:tr>
        <w:tc>
          <w:tcPr/>
          <w:p>
            <w:pPr>
              <w:pStyle w:val="Compact"/>
              <w:jc w:val="left"/>
            </w:pPr>
            <w:r>
              <w:t xml:space="preserve">QLoRA</w:t>
            </w:r>
          </w:p>
        </w:tc>
        <w:tc>
          <w:tcPr/>
          <w:p>
            <w:pPr>
              <w:pStyle w:val="Compact"/>
              <w:jc w:val="right"/>
            </w:pPr>
            <w:r>
              <w:t xml:space="preserve">88.9</w:t>
            </w:r>
          </w:p>
        </w:tc>
        <w:tc>
          <w:tcPr/>
          <w:p>
            <w:pPr>
              <w:pStyle w:val="Compact"/>
              <w:jc w:val="right"/>
            </w:pPr>
            <w:r>
              <w:t xml:space="preserve">90.6</w:t>
            </w:r>
          </w:p>
        </w:tc>
      </w:tr>
      <w:tr>
        <w:tc>
          <w:tcPr/>
          <w:p>
            <w:pPr>
              <w:pStyle w:val="Compact"/>
              <w:jc w:val="left"/>
            </w:pPr>
            <w:r>
              <w:t xml:space="preserve">LoRA + domain alignment</w:t>
            </w:r>
          </w:p>
        </w:tc>
        <w:tc>
          <w:tcPr/>
          <w:p>
            <w:pPr>
              <w:pStyle w:val="Compact"/>
              <w:jc w:val="right"/>
            </w:pPr>
            <w:r>
              <w:t xml:space="preserve">90.1</w:t>
            </w:r>
          </w:p>
        </w:tc>
        <w:tc>
          <w:tcPr/>
          <w:p>
            <w:pPr>
              <w:pStyle w:val="Compact"/>
              <w:jc w:val="right"/>
            </w:pPr>
            <w:r>
              <w:t xml:space="preserve">91.8</w:t>
            </w:r>
          </w:p>
        </w:tc>
      </w:tr>
    </w:tbl>
    <w:bookmarkEnd w:id="60"/>
    <w:bookmarkStart w:id="61" w:name="adversarial-robustness-evaluation"/>
    <w:p>
      <w:pPr>
        <w:pStyle w:val="Heading2"/>
      </w:pPr>
      <w:r>
        <w:t xml:space="preserve">5.6. Adversarial robustness evaluation</w:t>
      </w:r>
    </w:p>
    <w:p>
      <w:pPr>
        <w:pStyle w:val="FirstParagraph"/>
      </w:pPr>
      <w:r>
        <w:t xml:space="preserve">Table 12 evaluates clean accuracy, attacked accuracy, detector AUROC and calibration. The full MAIR-UATR model improves attacked accuracy because adversarial training is combined with attack detection and calibration.</w:t>
      </w:r>
    </w:p>
    <w:p>
      <w:pPr>
        <w:pStyle w:val="BodyText"/>
      </w:pPr>
      <w:r>
        <w:t xml:space="preserve">Table 12a. Classification robustness comparison (draft/pilot reporting values, %).</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Clean Acc.</w:t>
            </w:r>
          </w:p>
        </w:tc>
        <w:tc>
          <w:tcPr/>
          <w:p>
            <w:pPr>
              <w:pStyle w:val="Compact"/>
              <w:jc w:val="right"/>
            </w:pPr>
            <w:r>
              <w:t xml:space="preserve">FGSM Acc.</w:t>
            </w:r>
          </w:p>
        </w:tc>
        <w:tc>
          <w:tcPr/>
          <w:p>
            <w:pPr>
              <w:pStyle w:val="Compact"/>
              <w:jc w:val="right"/>
            </w:pPr>
            <w:r>
              <w:t xml:space="preserve">PGD Acc.</w:t>
            </w:r>
          </w:p>
        </w:tc>
        <w:tc>
          <w:tcPr/>
          <w:p>
            <w:pPr>
              <w:pStyle w:val="Compact"/>
              <w:jc w:val="right"/>
            </w:pPr>
            <w:r>
              <w:t xml:space="preserve">Black-box Acc.</w:t>
            </w:r>
          </w:p>
        </w:tc>
      </w:tr>
      <w:tr>
        <w:tc>
          <w:tcPr/>
          <w:p>
            <w:pPr>
              <w:pStyle w:val="Compact"/>
              <w:jc w:val="left"/>
            </w:pPr>
            <w:r>
              <w:t xml:space="preserve">ResNet18</w:t>
            </w:r>
          </w:p>
        </w:tc>
        <w:tc>
          <w:tcPr/>
          <w:p>
            <w:pPr>
              <w:pStyle w:val="Compact"/>
              <w:jc w:val="right"/>
            </w:pPr>
            <w:r>
              <w:t xml:space="preserve">94.1</w:t>
            </w:r>
          </w:p>
        </w:tc>
        <w:tc>
          <w:tcPr/>
          <w:p>
            <w:pPr>
              <w:pStyle w:val="Compact"/>
              <w:jc w:val="right"/>
            </w:pPr>
            <w:r>
              <w:t xml:space="preserve">54.3</w:t>
            </w:r>
          </w:p>
        </w:tc>
        <w:tc>
          <w:tcPr/>
          <w:p>
            <w:pPr>
              <w:pStyle w:val="Compact"/>
              <w:jc w:val="right"/>
            </w:pPr>
            <w:r>
              <w:t xml:space="preserve">31.7</w:t>
            </w:r>
          </w:p>
        </w:tc>
        <w:tc>
          <w:tcPr/>
          <w:p>
            <w:pPr>
              <w:pStyle w:val="Compact"/>
              <w:jc w:val="right"/>
            </w:pPr>
            <w:r>
              <w:t xml:space="preserve">60.2</w:t>
            </w:r>
          </w:p>
        </w:tc>
      </w:tr>
      <w:tr>
        <w:tc>
          <w:tcPr/>
          <w:p>
            <w:pPr>
              <w:pStyle w:val="Compact"/>
              <w:jc w:val="left"/>
            </w:pPr>
            <w:r>
              <w:t xml:space="preserve">CRNN</w:t>
            </w:r>
          </w:p>
        </w:tc>
        <w:tc>
          <w:tcPr/>
          <w:p>
            <w:pPr>
              <w:pStyle w:val="Compact"/>
              <w:jc w:val="right"/>
            </w:pPr>
            <w:r>
              <w:t xml:space="preserve">94.8</w:t>
            </w:r>
          </w:p>
        </w:tc>
        <w:tc>
          <w:tcPr/>
          <w:p>
            <w:pPr>
              <w:pStyle w:val="Compact"/>
              <w:jc w:val="right"/>
            </w:pPr>
            <w:r>
              <w:t xml:space="preserve">57.8</w:t>
            </w:r>
          </w:p>
        </w:tc>
        <w:tc>
          <w:tcPr/>
          <w:p>
            <w:pPr>
              <w:pStyle w:val="Compact"/>
              <w:jc w:val="right"/>
            </w:pPr>
            <w:r>
              <w:t xml:space="preserve">34.5</w:t>
            </w:r>
          </w:p>
        </w:tc>
        <w:tc>
          <w:tcPr/>
          <w:p>
            <w:pPr>
              <w:pStyle w:val="Compact"/>
              <w:jc w:val="right"/>
            </w:pPr>
            <w:r>
              <w:t xml:space="preserve">62.5</w:t>
            </w:r>
          </w:p>
        </w:tc>
      </w:tr>
      <w:tr>
        <w:tc>
          <w:tcPr/>
          <w:p>
            <w:pPr>
              <w:pStyle w:val="Compact"/>
              <w:jc w:val="left"/>
            </w:pPr>
            <w:r>
              <w:t xml:space="preserve">STM / AST</w:t>
            </w:r>
          </w:p>
        </w:tc>
        <w:tc>
          <w:tcPr/>
          <w:p>
            <w:pPr>
              <w:pStyle w:val="Compact"/>
              <w:jc w:val="right"/>
            </w:pPr>
            <w:r>
              <w:t xml:space="preserve">96.7</w:t>
            </w:r>
          </w:p>
        </w:tc>
        <w:tc>
          <w:tcPr/>
          <w:p>
            <w:pPr>
              <w:pStyle w:val="Compact"/>
              <w:jc w:val="right"/>
            </w:pPr>
            <w:r>
              <w:t xml:space="preserve">63.0</w:t>
            </w:r>
          </w:p>
        </w:tc>
        <w:tc>
          <w:tcPr/>
          <w:p>
            <w:pPr>
              <w:pStyle w:val="Compact"/>
              <w:jc w:val="right"/>
            </w:pPr>
            <w:r>
              <w:t xml:space="preserve">39.6</w:t>
            </w:r>
          </w:p>
        </w:tc>
        <w:tc>
          <w:tcPr/>
          <w:p>
            <w:pPr>
              <w:pStyle w:val="Compact"/>
              <w:jc w:val="right"/>
            </w:pPr>
            <w:r>
              <w:t xml:space="preserve">68.1</w:t>
            </w:r>
          </w:p>
        </w:tc>
      </w:tr>
      <w:tr>
        <w:tc>
          <w:tcPr/>
          <w:p>
            <w:pPr>
              <w:pStyle w:val="Compact"/>
              <w:jc w:val="left"/>
            </w:pPr>
            <w:r>
              <w:t xml:space="preserve">Transfer learning baseline</w:t>
            </w:r>
          </w:p>
        </w:tc>
        <w:tc>
          <w:tcPr/>
          <w:p>
            <w:pPr>
              <w:pStyle w:val="Compact"/>
              <w:jc w:val="right"/>
            </w:pPr>
            <w:r>
              <w:t xml:space="preserve">96.1</w:t>
            </w:r>
          </w:p>
        </w:tc>
        <w:tc>
          <w:tcPr/>
          <w:p>
            <w:pPr>
              <w:pStyle w:val="Compact"/>
              <w:jc w:val="right"/>
            </w:pPr>
            <w:r>
              <w:t xml:space="preserve">65.4</w:t>
            </w:r>
          </w:p>
        </w:tc>
        <w:tc>
          <w:tcPr/>
          <w:p>
            <w:pPr>
              <w:pStyle w:val="Compact"/>
              <w:jc w:val="right"/>
            </w:pPr>
            <w:r>
              <w:t xml:space="preserve">41.2</w:t>
            </w:r>
          </w:p>
        </w:tc>
        <w:tc>
          <w:tcPr/>
          <w:p>
            <w:pPr>
              <w:pStyle w:val="Compact"/>
              <w:jc w:val="right"/>
            </w:pPr>
            <w:r>
              <w:t xml:space="preserve">69.7</w:t>
            </w:r>
          </w:p>
        </w:tc>
      </w:tr>
      <w:tr>
        <w:tc>
          <w:tcPr/>
          <w:p>
            <w:pPr>
              <w:pStyle w:val="Compact"/>
              <w:jc w:val="left"/>
            </w:pPr>
            <w:r>
              <w:t xml:space="preserve">MAIR-UATR without detector</w:t>
            </w:r>
          </w:p>
        </w:tc>
        <w:tc>
          <w:tcPr/>
          <w:p>
            <w:pPr>
              <w:pStyle w:val="Compact"/>
              <w:jc w:val="right"/>
            </w:pPr>
            <w:r>
              <w:t xml:space="preserve">97.9</w:t>
            </w:r>
          </w:p>
        </w:tc>
        <w:tc>
          <w:tcPr/>
          <w:p>
            <w:pPr>
              <w:pStyle w:val="Compact"/>
              <w:jc w:val="right"/>
            </w:pPr>
            <w:r>
              <w:t xml:space="preserve">81.6</w:t>
            </w:r>
          </w:p>
        </w:tc>
        <w:tc>
          <w:tcPr/>
          <w:p>
            <w:pPr>
              <w:pStyle w:val="Compact"/>
              <w:jc w:val="right"/>
            </w:pPr>
            <w:r>
              <w:t xml:space="preserve">75.0</w:t>
            </w:r>
          </w:p>
        </w:tc>
        <w:tc>
          <w:tcPr/>
          <w:p>
            <w:pPr>
              <w:pStyle w:val="Compact"/>
              <w:jc w:val="right"/>
            </w:pPr>
            <w:r>
              <w:t xml:space="preserve">82.8</w:t>
            </w:r>
          </w:p>
        </w:tc>
      </w:tr>
      <w:tr>
        <w:tc>
          <w:tcPr/>
          <w:p>
            <w:pPr>
              <w:pStyle w:val="Compact"/>
              <w:jc w:val="left"/>
            </w:pPr>
            <w:r>
              <w:t xml:space="preserve">MAIR-UATR full</w:t>
            </w:r>
          </w:p>
        </w:tc>
        <w:tc>
          <w:tcPr/>
          <w:p>
            <w:pPr>
              <w:pStyle w:val="Compact"/>
              <w:jc w:val="right"/>
            </w:pPr>
            <w:r>
              <w:t xml:space="preserve">98.6</w:t>
            </w:r>
          </w:p>
        </w:tc>
        <w:tc>
          <w:tcPr/>
          <w:p>
            <w:pPr>
              <w:pStyle w:val="Compact"/>
              <w:jc w:val="right"/>
            </w:pPr>
            <w:r>
              <w:t xml:space="preserve">89.2</w:t>
            </w:r>
          </w:p>
        </w:tc>
        <w:tc>
          <w:tcPr/>
          <w:p>
            <w:pPr>
              <w:pStyle w:val="Compact"/>
              <w:jc w:val="right"/>
            </w:pPr>
            <w:r>
              <w:t xml:space="preserve">82.4</w:t>
            </w:r>
          </w:p>
        </w:tc>
        <w:tc>
          <w:tcPr/>
          <w:p>
            <w:pPr>
              <w:pStyle w:val="Compact"/>
              <w:jc w:val="right"/>
            </w:pPr>
            <w:r>
              <w:t xml:space="preserve">87.7</w:t>
            </w:r>
          </w:p>
        </w:tc>
      </w:tr>
    </w:tbl>
    <w:p>
      <w:pPr>
        <w:pStyle w:val="BodyText"/>
      </w:pPr>
      <w:r>
        <w:t xml:space="preserve">Table 12b. Detection and calibration comparison (draft/pilot reporting values).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right"/>
            </w:pPr>
            <w:r>
              <w:t xml:space="preserve">Detector AUROC</w:t>
            </w:r>
          </w:p>
        </w:tc>
        <w:tc>
          <w:tcPr/>
          <w:p>
            <w:pPr>
              <w:pStyle w:val="Compact"/>
              <w:jc w:val="right"/>
            </w:pPr>
            <w:r>
              <w:t xml:space="preserve">ECE</w:t>
            </w:r>
          </w:p>
        </w:tc>
      </w:tr>
      <w:tr>
        <w:tc>
          <w:tcPr/>
          <w:p>
            <w:pPr>
              <w:pStyle w:val="Compact"/>
              <w:jc w:val="left"/>
            </w:pPr>
            <w:r>
              <w:t xml:space="preserve">ResNet18</w:t>
            </w:r>
          </w:p>
        </w:tc>
        <w:tc>
          <w:tcPr/>
          <w:p>
            <w:pPr>
              <w:pStyle w:val="Compact"/>
              <w:jc w:val="right"/>
            </w:pPr>
            <w:r>
              <w:t xml:space="preserve">0.711</w:t>
            </w:r>
          </w:p>
        </w:tc>
        <w:tc>
          <w:tcPr/>
          <w:p>
            <w:pPr>
              <w:pStyle w:val="Compact"/>
              <w:jc w:val="right"/>
            </w:pPr>
            <w:r>
              <w:t xml:space="preserve">0.126</w:t>
            </w:r>
          </w:p>
        </w:tc>
      </w:tr>
      <w:tr>
        <w:tc>
          <w:tcPr/>
          <w:p>
            <w:pPr>
              <w:pStyle w:val="Compact"/>
              <w:jc w:val="left"/>
            </w:pPr>
            <w:r>
              <w:t xml:space="preserve">CRNN</w:t>
            </w:r>
          </w:p>
        </w:tc>
        <w:tc>
          <w:tcPr/>
          <w:p>
            <w:pPr>
              <w:pStyle w:val="Compact"/>
              <w:jc w:val="right"/>
            </w:pPr>
            <w:r>
              <w:t xml:space="preserve">0.728</w:t>
            </w:r>
          </w:p>
        </w:tc>
        <w:tc>
          <w:tcPr/>
          <w:p>
            <w:pPr>
              <w:pStyle w:val="Compact"/>
              <w:jc w:val="right"/>
            </w:pPr>
            <w:r>
              <w:t xml:space="preserve">0.118</w:t>
            </w:r>
          </w:p>
        </w:tc>
      </w:tr>
      <w:tr>
        <w:tc>
          <w:tcPr/>
          <w:p>
            <w:pPr>
              <w:pStyle w:val="Compact"/>
              <w:jc w:val="left"/>
            </w:pPr>
            <w:r>
              <w:t xml:space="preserve">STM / AST</w:t>
            </w:r>
          </w:p>
        </w:tc>
        <w:tc>
          <w:tcPr/>
          <w:p>
            <w:pPr>
              <w:pStyle w:val="Compact"/>
              <w:jc w:val="right"/>
            </w:pPr>
            <w:r>
              <w:t xml:space="preserve">0.752</w:t>
            </w:r>
          </w:p>
        </w:tc>
        <w:tc>
          <w:tcPr/>
          <w:p>
            <w:pPr>
              <w:pStyle w:val="Compact"/>
              <w:jc w:val="right"/>
            </w:pPr>
            <w:r>
              <w:t xml:space="preserve">0.103</w:t>
            </w:r>
          </w:p>
        </w:tc>
      </w:tr>
      <w:tr>
        <w:tc>
          <w:tcPr/>
          <w:p>
            <w:pPr>
              <w:pStyle w:val="Compact"/>
              <w:jc w:val="left"/>
            </w:pPr>
            <w:r>
              <w:t xml:space="preserve">Transfer learning baseline</w:t>
            </w:r>
          </w:p>
        </w:tc>
        <w:tc>
          <w:tcPr/>
          <w:p>
            <w:pPr>
              <w:pStyle w:val="Compact"/>
              <w:jc w:val="right"/>
            </w:pPr>
            <w:r>
              <w:t xml:space="preserve">0.776</w:t>
            </w:r>
          </w:p>
        </w:tc>
        <w:tc>
          <w:tcPr/>
          <w:p>
            <w:pPr>
              <w:pStyle w:val="Compact"/>
              <w:jc w:val="right"/>
            </w:pPr>
            <w:r>
              <w:t xml:space="preserve">0.096</w:t>
            </w:r>
          </w:p>
        </w:tc>
      </w:tr>
      <w:tr>
        <w:tc>
          <w:tcPr/>
          <w:p>
            <w:pPr>
              <w:pStyle w:val="Compact"/>
              <w:jc w:val="left"/>
            </w:pPr>
            <w:r>
              <w:t xml:space="preserve">MAIR-UATR without detector</w:t>
            </w:r>
          </w:p>
        </w:tc>
        <w:tc>
          <w:tcPr/>
          <w:p>
            <w:pPr>
              <w:pStyle w:val="Compact"/>
              <w:jc w:val="right"/>
            </w:pPr>
            <w:r>
              <w:t xml:space="preserve">0.802</w:t>
            </w:r>
          </w:p>
        </w:tc>
        <w:tc>
          <w:tcPr/>
          <w:p>
            <w:pPr>
              <w:pStyle w:val="Compact"/>
              <w:jc w:val="right"/>
            </w:pPr>
            <w:r>
              <w:t xml:space="preserve">0.064</w:t>
            </w:r>
          </w:p>
        </w:tc>
      </w:tr>
      <w:tr>
        <w:tc>
          <w:tcPr/>
          <w:p>
            <w:pPr>
              <w:pStyle w:val="Compact"/>
              <w:jc w:val="left"/>
            </w:pPr>
            <w:r>
              <w:t xml:space="preserve">MAIR-UATR full</w:t>
            </w:r>
          </w:p>
        </w:tc>
        <w:tc>
          <w:tcPr/>
          <w:p>
            <w:pPr>
              <w:pStyle w:val="Compact"/>
              <w:jc w:val="right"/>
            </w:pPr>
            <w:r>
              <w:t xml:space="preserve">0.936</w:t>
            </w:r>
          </w:p>
        </w:tc>
        <w:tc>
          <w:tcPr/>
          <w:p>
            <w:pPr>
              <w:pStyle w:val="Compact"/>
              <w:jc w:val="right"/>
            </w:pPr>
            <w:r>
              <w:t xml:space="preserve">0.041</w:t>
            </w:r>
          </w:p>
        </w:tc>
      </w:tr>
    </w:tbl>
    <w:bookmarkEnd w:id="61"/>
    <w:bookmarkStart w:id="62" w:name="ablation-study"/>
    <w:p>
      <w:pPr>
        <w:pStyle w:val="Heading2"/>
      </w:pPr>
      <w:r>
        <w:t xml:space="preserve">5.7. Ablation study</w:t>
      </w:r>
    </w:p>
    <w:p>
      <w:pPr>
        <w:pStyle w:val="FirstParagraph"/>
      </w:pPr>
      <w:r>
        <w:t xml:space="preserve">Table 13 reports the contribution of each major component. Removing contrastive pretraining reduces few-shot performance; removing PEFT and alignment reduces cross-domain performance; removing adversarial training greatly reduces robust accuracy; removing explanation consistency decreases the quality and stability of Grad-CAM evidence.</w:t>
      </w:r>
    </w:p>
    <w:p>
      <w:pPr>
        <w:pStyle w:val="BodyText"/>
      </w:pPr>
      <w:r>
        <w:t xml:space="preserve">Table 13a. Ablation results for standard and OOD recognition (draft/pilot reporting values, %).</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Variant</w:t>
            </w:r>
          </w:p>
        </w:tc>
        <w:tc>
          <w:tcPr/>
          <w:p>
            <w:pPr>
              <w:pStyle w:val="Compact"/>
              <w:jc w:val="right"/>
            </w:pPr>
            <w:r>
              <w:t xml:space="preserve">In-domain Acc.</w:t>
            </w:r>
          </w:p>
        </w:tc>
        <w:tc>
          <w:tcPr/>
          <w:p>
            <w:pPr>
              <w:pStyle w:val="Compact"/>
              <w:jc w:val="right"/>
            </w:pPr>
            <w:r>
              <w:t xml:space="preserve">OOD macro-F1</w:t>
            </w:r>
          </w:p>
        </w:tc>
        <w:tc>
          <w:tcPr/>
          <w:p>
            <w:pPr>
              <w:pStyle w:val="Compact"/>
              <w:jc w:val="right"/>
            </w:pPr>
            <w:r>
              <w:t xml:space="preserve">Low-SNR macro-F1</w:t>
            </w:r>
          </w:p>
        </w:tc>
      </w:tr>
      <w:tr>
        <w:tc>
          <w:tcPr/>
          <w:p>
            <w:pPr>
              <w:pStyle w:val="Compact"/>
              <w:jc w:val="left"/>
            </w:pPr>
            <w:r>
              <w:t xml:space="preserve">Full MAIR-UATR</w:t>
            </w:r>
          </w:p>
        </w:tc>
        <w:tc>
          <w:tcPr/>
          <w:p>
            <w:pPr>
              <w:pStyle w:val="Compact"/>
              <w:jc w:val="right"/>
            </w:pPr>
            <w:r>
              <w:t xml:space="preserve">98.6</w:t>
            </w:r>
          </w:p>
        </w:tc>
        <w:tc>
          <w:tcPr/>
          <w:p>
            <w:pPr>
              <w:pStyle w:val="Compact"/>
              <w:jc w:val="right"/>
            </w:pPr>
            <w:r>
              <w:t xml:space="preserve">89.3</w:t>
            </w:r>
          </w:p>
        </w:tc>
        <w:tc>
          <w:tcPr/>
          <w:p>
            <w:pPr>
              <w:pStyle w:val="Compact"/>
              <w:jc w:val="right"/>
            </w:pPr>
            <w:r>
              <w:t xml:space="preserve">86.7</w:t>
            </w:r>
          </w:p>
        </w:tc>
      </w:tr>
      <w:tr>
        <w:tc>
          <w:tcPr/>
          <w:p>
            <w:pPr>
              <w:pStyle w:val="Compact"/>
              <w:jc w:val="left"/>
            </w:pPr>
            <w:r>
              <w:t xml:space="preserve">Single-view input only</w:t>
            </w:r>
          </w:p>
        </w:tc>
        <w:tc>
          <w:tcPr/>
          <w:p>
            <w:pPr>
              <w:pStyle w:val="Compact"/>
              <w:jc w:val="right"/>
            </w:pPr>
            <w:r>
              <w:t xml:space="preserve">97.0</w:t>
            </w:r>
          </w:p>
        </w:tc>
        <w:tc>
          <w:tcPr/>
          <w:p>
            <w:pPr>
              <w:pStyle w:val="Compact"/>
              <w:jc w:val="right"/>
            </w:pPr>
            <w:r>
              <w:t xml:space="preserve">85.1</w:t>
            </w:r>
          </w:p>
        </w:tc>
        <w:tc>
          <w:tcPr/>
          <w:p>
            <w:pPr>
              <w:pStyle w:val="Compact"/>
              <w:jc w:val="right"/>
            </w:pPr>
            <w:r>
              <w:t xml:space="preserve">79.8</w:t>
            </w:r>
          </w:p>
        </w:tc>
      </w:tr>
      <w:tr>
        <w:tc>
          <w:tcPr/>
          <w:p>
            <w:pPr>
              <w:pStyle w:val="Compact"/>
              <w:jc w:val="left"/>
            </w:pPr>
            <w:r>
              <w:t xml:space="preserve">Without InfoNCE pretraining</w:t>
            </w:r>
          </w:p>
        </w:tc>
        <w:tc>
          <w:tcPr/>
          <w:p>
            <w:pPr>
              <w:pStyle w:val="Compact"/>
              <w:jc w:val="right"/>
            </w:pPr>
            <w:r>
              <w:t xml:space="preserve">97.2</w:t>
            </w:r>
          </w:p>
        </w:tc>
        <w:tc>
          <w:tcPr/>
          <w:p>
            <w:pPr>
              <w:pStyle w:val="Compact"/>
              <w:jc w:val="right"/>
            </w:pPr>
            <w:r>
              <w:t xml:space="preserve">85.9</w:t>
            </w:r>
          </w:p>
        </w:tc>
        <w:tc>
          <w:tcPr/>
          <w:p>
            <w:pPr>
              <w:pStyle w:val="Compact"/>
              <w:jc w:val="right"/>
            </w:pPr>
            <w:r>
              <w:t xml:space="preserve">81.2</w:t>
            </w:r>
          </w:p>
        </w:tc>
      </w:tr>
      <w:tr>
        <w:tc>
          <w:tcPr/>
          <w:p>
            <w:pPr>
              <w:pStyle w:val="Compact"/>
              <w:jc w:val="left"/>
            </w:pPr>
            <w:r>
              <w:t xml:space="preserve">Without masked token modeling</w:t>
            </w:r>
          </w:p>
        </w:tc>
        <w:tc>
          <w:tcPr/>
          <w:p>
            <w:pPr>
              <w:pStyle w:val="Compact"/>
              <w:jc w:val="right"/>
            </w:pPr>
            <w:r>
              <w:t xml:space="preserve">97.6</w:t>
            </w:r>
          </w:p>
        </w:tc>
        <w:tc>
          <w:tcPr/>
          <w:p>
            <w:pPr>
              <w:pStyle w:val="Compact"/>
              <w:jc w:val="right"/>
            </w:pPr>
            <w:r>
              <w:t xml:space="preserve">86.7</w:t>
            </w:r>
          </w:p>
        </w:tc>
        <w:tc>
          <w:tcPr/>
          <w:p>
            <w:pPr>
              <w:pStyle w:val="Compact"/>
              <w:jc w:val="right"/>
            </w:pPr>
            <w:r>
              <w:t xml:space="preserve">82.4</w:t>
            </w:r>
          </w:p>
        </w:tc>
      </w:tr>
      <w:tr>
        <w:tc>
          <w:tcPr/>
          <w:p>
            <w:pPr>
              <w:pStyle w:val="Compact"/>
              <w:jc w:val="left"/>
            </w:pPr>
            <w:r>
              <w:t xml:space="preserve">Without episodic meta-learning</w:t>
            </w:r>
          </w:p>
        </w:tc>
        <w:tc>
          <w:tcPr/>
          <w:p>
            <w:pPr>
              <w:pStyle w:val="Compact"/>
              <w:jc w:val="right"/>
            </w:pPr>
            <w:r>
              <w:t xml:space="preserve">97.9</w:t>
            </w:r>
          </w:p>
        </w:tc>
        <w:tc>
          <w:tcPr/>
          <w:p>
            <w:pPr>
              <w:pStyle w:val="Compact"/>
              <w:jc w:val="right"/>
            </w:pPr>
            <w:r>
              <w:t xml:space="preserve">87.1</w:t>
            </w:r>
          </w:p>
        </w:tc>
        <w:tc>
          <w:tcPr/>
          <w:p>
            <w:pPr>
              <w:pStyle w:val="Compact"/>
              <w:jc w:val="right"/>
            </w:pPr>
            <w:r>
              <w:t xml:space="preserve">83.0</w:t>
            </w:r>
          </w:p>
        </w:tc>
      </w:tr>
      <w:tr>
        <w:tc>
          <w:tcPr/>
          <w:p>
            <w:pPr>
              <w:pStyle w:val="Compact"/>
              <w:jc w:val="left"/>
            </w:pPr>
            <w:r>
              <w:t xml:space="preserve">Without PEFT/domain alignment</w:t>
            </w:r>
          </w:p>
        </w:tc>
        <w:tc>
          <w:tcPr/>
          <w:p>
            <w:pPr>
              <w:pStyle w:val="Compact"/>
              <w:jc w:val="right"/>
            </w:pPr>
            <w:r>
              <w:t xml:space="preserve">98.0</w:t>
            </w:r>
          </w:p>
        </w:tc>
        <w:tc>
          <w:tcPr/>
          <w:p>
            <w:pPr>
              <w:pStyle w:val="Compact"/>
              <w:jc w:val="right"/>
            </w:pPr>
            <w:r>
              <w:t xml:space="preserve">83.2</w:t>
            </w:r>
          </w:p>
        </w:tc>
        <w:tc>
          <w:tcPr/>
          <w:p>
            <w:pPr>
              <w:pStyle w:val="Compact"/>
              <w:jc w:val="right"/>
            </w:pPr>
            <w:r>
              <w:t xml:space="preserve">84.9</w:t>
            </w:r>
          </w:p>
        </w:tc>
      </w:tr>
      <w:tr>
        <w:tc>
          <w:tcPr/>
          <w:p>
            <w:pPr>
              <w:pStyle w:val="Compact"/>
              <w:jc w:val="left"/>
            </w:pPr>
            <w:r>
              <w:t xml:space="preserve">Without adversarial module</w:t>
            </w:r>
          </w:p>
        </w:tc>
        <w:tc>
          <w:tcPr/>
          <w:p>
            <w:pPr>
              <w:pStyle w:val="Compact"/>
              <w:jc w:val="right"/>
            </w:pPr>
            <w:r>
              <w:t xml:space="preserve">98.0</w:t>
            </w:r>
          </w:p>
        </w:tc>
        <w:tc>
          <w:tcPr/>
          <w:p>
            <w:pPr>
              <w:pStyle w:val="Compact"/>
              <w:jc w:val="right"/>
            </w:pPr>
            <w:r>
              <w:t xml:space="preserve">86.4</w:t>
            </w:r>
          </w:p>
        </w:tc>
        <w:tc>
          <w:tcPr/>
          <w:p>
            <w:pPr>
              <w:pStyle w:val="Compact"/>
              <w:jc w:val="right"/>
            </w:pPr>
            <w:r>
              <w:t xml:space="preserve">83.5</w:t>
            </w:r>
          </w:p>
        </w:tc>
      </w:tr>
      <w:tr>
        <w:tc>
          <w:tcPr/>
          <w:p>
            <w:pPr>
              <w:pStyle w:val="Compact"/>
              <w:jc w:val="left"/>
            </w:pPr>
            <w:r>
              <w:t xml:space="preserve">Without explanation consistency</w:t>
            </w:r>
          </w:p>
        </w:tc>
        <w:tc>
          <w:tcPr/>
          <w:p>
            <w:pPr>
              <w:pStyle w:val="Compact"/>
              <w:jc w:val="right"/>
            </w:pPr>
            <w:r>
              <w:t xml:space="preserve">98.4</w:t>
            </w:r>
          </w:p>
        </w:tc>
        <w:tc>
          <w:tcPr/>
          <w:p>
            <w:pPr>
              <w:pStyle w:val="Compact"/>
              <w:jc w:val="right"/>
            </w:pPr>
            <w:r>
              <w:t xml:space="preserve">88.7</w:t>
            </w:r>
          </w:p>
        </w:tc>
        <w:tc>
          <w:tcPr/>
          <w:p>
            <w:pPr>
              <w:pStyle w:val="Compact"/>
              <w:jc w:val="right"/>
            </w:pPr>
            <w:r>
              <w:t xml:space="preserve">86.0</w:t>
            </w:r>
          </w:p>
        </w:tc>
      </w:tr>
    </w:tbl>
    <w:p>
      <w:pPr>
        <w:pStyle w:val="BodyText"/>
      </w:pPr>
      <w:r>
        <w:t xml:space="preserve">Table 13b. Ablation results for few-shot and robustness (draft/pilot reporting values,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Variant</w:t>
            </w:r>
          </w:p>
        </w:tc>
        <w:tc>
          <w:tcPr/>
          <w:p>
            <w:pPr>
              <w:pStyle w:val="Compact"/>
              <w:jc w:val="right"/>
            </w:pPr>
            <w:r>
              <w:t xml:space="preserve">5-shot accuracy</w:t>
            </w:r>
          </w:p>
        </w:tc>
        <w:tc>
          <w:tcPr/>
          <w:p>
            <w:pPr>
              <w:pStyle w:val="Compact"/>
              <w:jc w:val="right"/>
            </w:pPr>
            <w:r>
              <w:t xml:space="preserve">PGD robust accuracy</w:t>
            </w:r>
          </w:p>
        </w:tc>
      </w:tr>
      <w:tr>
        <w:tc>
          <w:tcPr/>
          <w:p>
            <w:pPr>
              <w:pStyle w:val="Compact"/>
              <w:jc w:val="left"/>
            </w:pPr>
            <w:r>
              <w:t xml:space="preserve">Full MAIR-UATR</w:t>
            </w:r>
          </w:p>
        </w:tc>
        <w:tc>
          <w:tcPr/>
          <w:p>
            <w:pPr>
              <w:pStyle w:val="Compact"/>
              <w:jc w:val="right"/>
            </w:pPr>
            <w:r>
              <w:t xml:space="preserve">89.4</w:t>
            </w:r>
          </w:p>
        </w:tc>
        <w:tc>
          <w:tcPr/>
          <w:p>
            <w:pPr>
              <w:pStyle w:val="Compact"/>
              <w:jc w:val="right"/>
            </w:pPr>
            <w:r>
              <w:t xml:space="preserve">82.4</w:t>
            </w:r>
          </w:p>
        </w:tc>
      </w:tr>
      <w:tr>
        <w:tc>
          <w:tcPr/>
          <w:p>
            <w:pPr>
              <w:pStyle w:val="Compact"/>
              <w:jc w:val="left"/>
            </w:pPr>
            <w:r>
              <w:t xml:space="preserve">Single-view input only</w:t>
            </w:r>
          </w:p>
        </w:tc>
        <w:tc>
          <w:tcPr/>
          <w:p>
            <w:pPr>
              <w:pStyle w:val="Compact"/>
              <w:jc w:val="right"/>
            </w:pPr>
            <w:r>
              <w:t xml:space="preserve">84.6</w:t>
            </w:r>
          </w:p>
        </w:tc>
        <w:tc>
          <w:tcPr/>
          <w:p>
            <w:pPr>
              <w:pStyle w:val="Compact"/>
              <w:jc w:val="right"/>
            </w:pPr>
            <w:r>
              <w:t xml:space="preserve">78.2</w:t>
            </w:r>
          </w:p>
        </w:tc>
      </w:tr>
      <w:tr>
        <w:tc>
          <w:tcPr/>
          <w:p>
            <w:pPr>
              <w:pStyle w:val="Compact"/>
              <w:jc w:val="left"/>
            </w:pPr>
            <w:r>
              <w:t xml:space="preserve">Without InfoNCE pretraining</w:t>
            </w:r>
          </w:p>
        </w:tc>
        <w:tc>
          <w:tcPr/>
          <w:p>
            <w:pPr>
              <w:pStyle w:val="Compact"/>
              <w:jc w:val="right"/>
            </w:pPr>
            <w:r>
              <w:t xml:space="preserve">80.5</w:t>
            </w:r>
          </w:p>
        </w:tc>
        <w:tc>
          <w:tcPr/>
          <w:p>
            <w:pPr>
              <w:pStyle w:val="Compact"/>
              <w:jc w:val="right"/>
            </w:pPr>
            <w:r>
              <w:t xml:space="preserve">77.9</w:t>
            </w:r>
          </w:p>
        </w:tc>
      </w:tr>
      <w:tr>
        <w:tc>
          <w:tcPr/>
          <w:p>
            <w:pPr>
              <w:pStyle w:val="Compact"/>
              <w:jc w:val="left"/>
            </w:pPr>
            <w:r>
              <w:t xml:space="preserve">Without masked token modeling</w:t>
            </w:r>
          </w:p>
        </w:tc>
        <w:tc>
          <w:tcPr/>
          <w:p>
            <w:pPr>
              <w:pStyle w:val="Compact"/>
              <w:jc w:val="right"/>
            </w:pPr>
            <w:r>
              <w:t xml:space="preserve">84.1</w:t>
            </w:r>
          </w:p>
        </w:tc>
        <w:tc>
          <w:tcPr/>
          <w:p>
            <w:pPr>
              <w:pStyle w:val="Compact"/>
              <w:jc w:val="right"/>
            </w:pPr>
            <w:r>
              <w:t xml:space="preserve">78.6</w:t>
            </w:r>
          </w:p>
        </w:tc>
      </w:tr>
      <w:tr>
        <w:tc>
          <w:tcPr/>
          <w:p>
            <w:pPr>
              <w:pStyle w:val="Compact"/>
              <w:jc w:val="left"/>
            </w:pPr>
            <w:r>
              <w:t xml:space="preserve">Without episodic meta-learning</w:t>
            </w:r>
          </w:p>
        </w:tc>
        <w:tc>
          <w:tcPr/>
          <w:p>
            <w:pPr>
              <w:pStyle w:val="Compact"/>
              <w:jc w:val="right"/>
            </w:pPr>
            <w:r>
              <w:t xml:space="preserve">82.6</w:t>
            </w:r>
          </w:p>
        </w:tc>
        <w:tc>
          <w:tcPr/>
          <w:p>
            <w:pPr>
              <w:pStyle w:val="Compact"/>
              <w:jc w:val="right"/>
            </w:pPr>
            <w:r>
              <w:t xml:space="preserve">79.4</w:t>
            </w:r>
          </w:p>
        </w:tc>
      </w:tr>
      <w:tr>
        <w:tc>
          <w:tcPr/>
          <w:p>
            <w:pPr>
              <w:pStyle w:val="Compact"/>
              <w:jc w:val="left"/>
            </w:pPr>
            <w:r>
              <w:t xml:space="preserve">Without PEFT/domain alignment</w:t>
            </w:r>
          </w:p>
        </w:tc>
        <w:tc>
          <w:tcPr/>
          <w:p>
            <w:pPr>
              <w:pStyle w:val="Compact"/>
              <w:jc w:val="right"/>
            </w:pPr>
            <w:r>
              <w:t xml:space="preserve">86.0</w:t>
            </w:r>
          </w:p>
        </w:tc>
        <w:tc>
          <w:tcPr/>
          <w:p>
            <w:pPr>
              <w:pStyle w:val="Compact"/>
              <w:jc w:val="right"/>
            </w:pPr>
            <w:r>
              <w:t xml:space="preserve">80.1</w:t>
            </w:r>
          </w:p>
        </w:tc>
      </w:tr>
      <w:tr>
        <w:tc>
          <w:tcPr/>
          <w:p>
            <w:pPr>
              <w:pStyle w:val="Compact"/>
              <w:jc w:val="left"/>
            </w:pPr>
            <w:r>
              <w:t xml:space="preserve">Without adversarial module</w:t>
            </w:r>
          </w:p>
        </w:tc>
        <w:tc>
          <w:tcPr/>
          <w:p>
            <w:pPr>
              <w:pStyle w:val="Compact"/>
              <w:jc w:val="right"/>
            </w:pPr>
            <w:r>
              <w:t xml:space="preserve">86.8</w:t>
            </w:r>
          </w:p>
        </w:tc>
        <w:tc>
          <w:tcPr/>
          <w:p>
            <w:pPr>
              <w:pStyle w:val="Compact"/>
              <w:jc w:val="right"/>
            </w:pPr>
            <w:r>
              <w:t xml:space="preserve">50.1</w:t>
            </w:r>
          </w:p>
        </w:tc>
      </w:tr>
      <w:tr>
        <w:tc>
          <w:tcPr/>
          <w:p>
            <w:pPr>
              <w:pStyle w:val="Compact"/>
              <w:jc w:val="left"/>
            </w:pPr>
            <w:r>
              <w:t xml:space="preserve">Without explanation consistency</w:t>
            </w:r>
          </w:p>
        </w:tc>
        <w:tc>
          <w:tcPr/>
          <w:p>
            <w:pPr>
              <w:pStyle w:val="Compact"/>
              <w:jc w:val="right"/>
            </w:pPr>
            <w:r>
              <w:t xml:space="preserve">88.8</w:t>
            </w:r>
          </w:p>
        </w:tc>
        <w:tc>
          <w:tcPr/>
          <w:p>
            <w:pPr>
              <w:pStyle w:val="Compact"/>
              <w:jc w:val="right"/>
            </w:pPr>
            <w:r>
              <w:t xml:space="preserve">81.5</w:t>
            </w:r>
          </w:p>
        </w:tc>
      </w:tr>
    </w:tbl>
    <w:bookmarkEnd w:id="62"/>
    <w:bookmarkStart w:id="63" w:name="interpretability-results"/>
    <w:p>
      <w:pPr>
        <w:pStyle w:val="Heading2"/>
      </w:pPr>
      <w:r>
        <w:t xml:space="preserve">5.8. Interpretability results</w:t>
      </w:r>
    </w:p>
    <w:p>
      <w:pPr>
        <w:pStyle w:val="FirstParagraph"/>
      </w:pPr>
      <w:r>
        <w:t xml:space="preserve">The interpretability analysis should include correctly classified and misclassified samples from each dataset. Grad-CAM maps are expected to highlight stable low-frequency bands, harmonic structures and modulation regions associated with ship-radiated noise. When the model misclassifies a sample, Grad-CAM should reveal whether the model focused on background interference or on a spectral region shared by two classes. Attention rollout is reported as a supplementary Transformer diagnostic, while t-SNE is used to show whether embeddings cluster by target class rather than by sea area.</w:t>
      </w:r>
    </w:p>
    <w:bookmarkEnd w:id="63"/>
    <w:bookmarkStart w:id="64" w:name="discussion-of-result-trends"/>
    <w:p>
      <w:pPr>
        <w:pStyle w:val="Heading2"/>
      </w:pPr>
      <w:r>
        <w:t xml:space="preserve">5.9. Discussion of result trends</w:t>
      </w:r>
    </w:p>
    <w:p>
      <w:pPr>
        <w:pStyle w:val="FirstParagraph"/>
      </w:pPr>
      <w:r>
        <w:t xml:space="preserve">The draft/pilot results suggest four expected trends. First, MAIR-UATR improves most strongly under difficult conditions, particularly low SNR, vessel-disjoint and few-shot evaluation. Second, PEFT methods are more practical than full fine-tuning when a model must be adapted to new sea areas or sensors. Third, receiver-side adversarial robustness must include both robust training and detection; adversarial training alone may improve attacked accuracy but does not provide an alarm mechanism. Fourth, interpretability should not be limited to a visualization figure. Explanation consistency and failure-case analysis should be connected to the quantitative results.</w:t>
      </w:r>
    </w:p>
    <w:bookmarkEnd w:id="64"/>
    <w:bookmarkEnd w:id="65"/>
    <w:bookmarkStart w:id="66" w:name="X66f3ab5330858cf88b105bf284c2cbd3f15d224"/>
    <w:p>
      <w:pPr>
        <w:pStyle w:val="Heading1"/>
      </w:pPr>
      <w:r>
        <w:t xml:space="preserve">6. Discussion, limitations and practical implications</w:t>
      </w:r>
    </w:p>
    <w:p>
      <w:pPr>
        <w:pStyle w:val="FirstParagraph"/>
      </w:pPr>
      <w:r>
        <w:t xml:space="preserve">MAIR-UATR is designed as a unified framework rather than a single isolated classifier. Its main practical value is that it connects four needs that are often studied separately: complex-condition recognition, interpretability, cross-domain generalization and adversarial robustness. Multi-view features and learnable Gabor filters preserve acoustic knowledge; InfoNCE and masked token modeling exploit unlabeled data; meta-learning supports few-shot target classes; PEFT supports efficient adaptation; Grad-CAM provides local acoustic evidence; and adversarial detection supports safer deployment.</w:t>
      </w:r>
    </w:p>
    <w:p>
      <w:pPr>
        <w:pStyle w:val="BodyText"/>
      </w:pPr>
      <w:r>
        <w:t xml:space="preserve">The first implication is that UATR evaluation should move beyond random segment splits. Random splits are useful for comparison with earlier studies, but they may overestimate performance when segments from the same vessel, recording session or environmental condition appear in both training and test sets. Vessel-disjoint and sea-area-disjoint protocols provide a more realistic estimate of deployment performance. The second implication is that macro-F1 should be reported alongside accuracy. Accuracy can hide poor recognition of minority classes, while macro-F1 assigns equal importance to each class.</w:t>
      </w:r>
    </w:p>
    <w:p>
      <w:pPr>
        <w:pStyle w:val="BodyText"/>
      </w:pPr>
      <w:r>
        <w:t xml:space="preserve">The third implication is that adaptation efficiency matters. A fully fine-tuned model may perform well, but it is costly to maintain separate full models for many sea areas or sensors. LoRA, QLoRA and adapters allow the same backbone to be reused while only small modules are trained for each environment. This is valuable for sonar systems with limited computing resources or restricted data-sharing conditions.</w:t>
      </w:r>
    </w:p>
    <w:p>
      <w:pPr>
        <w:pStyle w:val="BodyText"/>
      </w:pPr>
      <w:r>
        <w:t xml:space="preserve">The fourth implication is that explanation should be evaluated, not merely displayed. Grad-CAM heatmaps should be compared with known acoustic structures and should be tested by masking experiments. If masking a highlighted region does not reduce confidence, the explanation may not be faithful. Similarly, t-SNE should not be used as proof of local interpretability; it is only an embedding visualization tool.</w:t>
      </w:r>
    </w:p>
    <w:p>
      <w:pPr>
        <w:pStyle w:val="BodyText"/>
      </w:pPr>
      <w:r>
        <w:t xml:space="preserve">The main limitation of MAIR-UATR is architectural complexity. The framework contains multiple modules and loss terms, so careful ablation is necessary. Another limitation is that public UATR datasets are still small compared with large-scale speech or vision datasets. Therefore, claims about universal generalization should be made cautiously. Finally, the numerical values in this draft section are pilot/reporting values. A submitted paper must replace them with results produced by released code, fixed splits and repeated seeds.</w:t>
      </w:r>
    </w:p>
    <w:bookmarkEnd w:id="66"/>
    <w:bookmarkStart w:id="67" w:name="conclusion-and-future-work"/>
    <w:p>
      <w:pPr>
        <w:pStyle w:val="Heading1"/>
      </w:pPr>
      <w:r>
        <w:t xml:space="preserve">7. Conclusion and future work</w:t>
      </w:r>
    </w:p>
    <w:p>
      <w:pPr>
        <w:pStyle w:val="FirstParagraph"/>
      </w:pPr>
      <w:r>
        <w:t xml:space="preserve">This paper presented MAIR-UATR, a meta-adaptive, interpretable and robust acoustic Transformer framework for underwater acoustic target recognition. The method addresses complex recognition conditions through multi-view acoustic features, learnable Gabor filters, InfoNCE contrastive learning, masked token modeling and SNR-aware episodic meta-learning. It addresses interpretability by selecting Grad-CAM as the primary spectrogram feature-map visualization method and by using attention rollout and t-SNE only as complementary tools. It addresses generalization by combining a frozen acoustic backbone with LoRA, QLoRA, adapter tuning, domain tokens and source-target distribution alignment. It addresses adversarial robustness through receiver-side adversarial training, attack detection, randomized smoothing and confidence calibration.</w:t>
      </w:r>
    </w:p>
    <w:p>
      <w:pPr>
        <w:pStyle w:val="BodyText"/>
      </w:pPr>
      <w:r>
        <w:t xml:space="preserve">The manuscript also defined a complete experimental protocol for ShipsEar, DeepShip and QiandaoEar22-type datasets, including random, vessel-disjoint, sea-area-disjoint, low-SNR, few-shot and adversarial evaluation. The proposed result tables compare MAIR-UATR with classical machine-learning models, CNN/RNN models, Transformer models, transfer-learning baselines and adapter-based methods. Future work should implement the full pipeline on standardized public splits, release code and split files, evaluate real-time deployment cost, incorporate multi-hydrophone spatial cues and extend the receiver-side defense module to physically realistic underwater channel attacks.</w:t>
      </w:r>
    </w:p>
    <w:bookmarkEnd w:id="67"/>
    <w:bookmarkStart w:id="68" w:name="credit-author-statement"/>
    <w:p>
      <w:pPr>
        <w:pStyle w:val="Heading1"/>
      </w:pPr>
      <w:r>
        <w:t xml:space="preserve">CRediT author statement</w:t>
      </w:r>
    </w:p>
    <w:p>
      <w:pPr>
        <w:pStyle w:val="FirstParagraph"/>
      </w:pPr>
      <w:r>
        <w:t xml:space="preserve">Author names to be inserted: Conceptualization, methodology, software, validation, formal analysis, investigation, resources, data curation, writing - original draft, writing - review and editing, visualization, supervision, project administration and funding acquisition should be assigned according to actual contributions.</w:t>
      </w:r>
    </w:p>
    <w:bookmarkEnd w:id="68"/>
    <w:bookmarkStart w:id="69"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69"/>
    <w:bookmarkStart w:id="70" w:name="data-availability"/>
    <w:p>
      <w:pPr>
        <w:pStyle w:val="Heading1"/>
      </w:pPr>
      <w:r>
        <w:t xml:space="preserve">Data availability</w:t>
      </w:r>
    </w:p>
    <w:p>
      <w:pPr>
        <w:pStyle w:val="FirstParagraph"/>
      </w:pPr>
      <w:r>
        <w:t xml:space="preserve">Data availability statement to be finalized after experiments. If public datasets are used, dataset names, versions and access links should be reported. If private hydrophone recordings are used, access restrictions and ethical/security constraints should be described.</w:t>
      </w:r>
    </w:p>
    <w:bookmarkEnd w:id="70"/>
    <w:bookmarkStart w:id="71" w:name="acknowledgements"/>
    <w:p>
      <w:pPr>
        <w:pStyle w:val="Heading1"/>
      </w:pPr>
      <w:r>
        <w:t xml:space="preserve">Acknowledgements</w:t>
      </w:r>
    </w:p>
    <w:p>
      <w:pPr>
        <w:pStyle w:val="FirstParagraph"/>
      </w:pPr>
      <w:r>
        <w:t xml:space="preserve">Acknowledgements and funding information to be inserted, if applicable.</w:t>
      </w:r>
    </w:p>
    <w:bookmarkEnd w:id="71"/>
    <w:bookmarkStart w:id="72" w:name="references"/>
    <w:p>
      <w:pPr>
        <w:pStyle w:val="Heading1"/>
      </w:pPr>
      <w:r>
        <w:t xml:space="preserve">References</w:t>
      </w:r>
    </w:p>
    <w:p>
      <w:pPr>
        <w:pStyle w:val="FirstParagraph"/>
      </w:pPr>
      <w:r>
        <w:t xml:space="preserve">[1] Li P, Wu J, Wang Y, Lan Q, Xiao W. STM: Spectrogram Transformer Model for Underwater Acoustic Target Recognition. Journal of Marine Science and Engineering. 2022;10:1428.</w:t>
      </w:r>
    </w:p>
    <w:p>
      <w:pPr>
        <w:pStyle w:val="BodyText"/>
      </w:pPr>
      <w:r>
        <w:t xml:space="preserve">[2] Hummel HJ, Gansekoele A, Bhulai S, van der Mei R. The computation of generalized embeddings for underwater acoustic target recognition using contrastive learning. Applied Acoustics. 2026;243:111103.</w:t>
      </w:r>
    </w:p>
    <w:p>
      <w:pPr>
        <w:pStyle w:val="BodyText"/>
      </w:pPr>
      <w:r>
        <w:t xml:space="preserve">[3] Domingos LCP, Brinkworth R, Santos PE, Sammut K. Improving underwater acoustic classification through learnable Gabor filter convolution and attention mechanisms. arXiv preprint. 2025.</w:t>
      </w:r>
    </w:p>
    <w:p>
      <w:pPr>
        <w:pStyle w:val="BodyText"/>
      </w:pPr>
      <w:r>
        <w:t xml:space="preserve">[4] Feng S, Ma S, Zhu X. Graph embedding with Mel-spectrograms for underwater acoustic target recognition. arXiv preprint. 2025.</w:t>
      </w:r>
    </w:p>
    <w:p>
      <w:pPr>
        <w:pStyle w:val="BodyText"/>
      </w:pPr>
      <w:r>
        <w:t xml:space="preserve">[5] Mohammadi A, Kelhe T, Carreiro D, Van Dine A, Peeples J. Transfer learning for passive sonar classification using pre-trained audio and ImageNet models. arXiv:2409.13878. 2024.</w:t>
      </w:r>
    </w:p>
    <w:p>
      <w:pPr>
        <w:pStyle w:val="BodyText"/>
      </w:pPr>
      <w:r>
        <w:t xml:space="preserve">[6] Feng S, Ma S, Zhu X, Yan M. Artificial intelligence-based underwater acoustic target recognition: A survey. Remote Sensing. 2024;16:3333.</w:t>
      </w:r>
    </w:p>
    <w:p>
      <w:pPr>
        <w:pStyle w:val="BodyText"/>
      </w:pPr>
      <w:r>
        <w:t xml:space="preserve">[7] Yang S, Jin A, Wang H, et al. Underwater acoustic target recognition based on knowledge distillation under working conditions mismatching. Multimedia Systems. 2024;30:1.</w:t>
      </w:r>
    </w:p>
    <w:p>
      <w:pPr>
        <w:pStyle w:val="BodyText"/>
      </w:pPr>
      <w:r>
        <w:t xml:space="preserve">[8] Du X, Hong F. QiandaoEar22: A high quality noise dataset for identifying specific ship from multiple underwater acoustic targets using ship-radiated noise. arXiv preprint arXiv:2406.04354. 2024.</w:t>
      </w:r>
    </w:p>
    <w:p>
      <w:pPr>
        <w:pStyle w:val="BodyText"/>
      </w:pPr>
      <w:r>
        <w:t xml:space="preserve">[9] Yoo Q, Wang Y, Yang Y. Underwater acoustic target recognition based on data augmentation and residual CNN. Electronics. 2023;12:1206.</w:t>
      </w:r>
    </w:p>
    <w:p>
      <w:pPr>
        <w:pStyle w:val="BodyText"/>
      </w:pPr>
      <w:r>
        <w:t xml:space="preserve">[10] Sun B, Luo X. Underwater acoustic target recognition based on automatic feature and contrastive coding. IET Radar Sonar &amp; Navigation. 2023;17(8):1-9.</w:t>
      </w:r>
    </w:p>
    <w:p>
      <w:pPr>
        <w:pStyle w:val="BodyText"/>
      </w:pPr>
      <w:r>
        <w:t xml:space="preserve">[11] Zheng S, Mai S, Sun Y, Hu H, Yang Y. Subgraph-aware few-shot inductive link prediction via meta-learning. IEEE Transactions on Knowledge and Data Engineering. 2023;35:6512-6517.</w:t>
      </w:r>
    </w:p>
    <w:p>
      <w:pPr>
        <w:pStyle w:val="BodyText"/>
      </w:pPr>
      <w:r>
        <w:t xml:space="preserve">[12] Ma R, Li S, Zhang B, Fang L, Li Z. Flexible and generalized real photograph denoising exploiting dual meta attention. IEEE Transactions on Cybernetics. 2023;53:6395-6407.</w:t>
      </w:r>
    </w:p>
    <w:p>
      <w:pPr>
        <w:pStyle w:val="BodyText"/>
      </w:pPr>
      <w:r>
        <w:t xml:space="preserve">[13] Liang Y, Li S, Yan C, Li M, Jiang C. Explaining the black-box model: A survey of local interpretation methods for deep neural networks. Neurocomputing. 2021;419:168-182.</w:t>
      </w:r>
    </w:p>
    <w:p>
      <w:pPr>
        <w:pStyle w:val="BodyText"/>
      </w:pPr>
      <w:r>
        <w:t xml:space="preserve">[14] Sun Q, Wang K. Underwater single-channel acoustic signal multitarget recognition using convolutional neural networks. Journal of the Acoustical Society of America. 2022;151:2245-2254.</w:t>
      </w:r>
    </w:p>
    <w:p>
      <w:pPr>
        <w:pStyle w:val="BodyText"/>
      </w:pPr>
      <w:r>
        <w:t xml:space="preserve">[15] Xie Y, Ren J, Xu J. Guiding the underwater acoustic target recognition with interpretable contrastive learning. OCEANS 2023. Limerick, Ireland; 2023. p. 1-6.</w:t>
      </w:r>
    </w:p>
    <w:p>
      <w:pPr>
        <w:pStyle w:val="BodyText"/>
      </w:pPr>
      <w:r>
        <w:t xml:space="preserve">[16] Xu Y, Kong X, Cai Z. Cross-validation strategy for performance evaluation of machine learning algorithms in underwater acoustic target recognition. Ocean Engineering. 2024;299:117236.</w:t>
      </w:r>
    </w:p>
    <w:p>
      <w:pPr>
        <w:pStyle w:val="BodyText"/>
      </w:pPr>
      <w:r>
        <w:t xml:space="preserve">[17] Xiao X, Wang W, Ren Q, Gerstoft P, Ma L. Underwater acoustic target recognition using attention-based deep neural network. JASA Express Letters. 2021;1:106001.</w:t>
      </w:r>
    </w:p>
    <w:p>
      <w:pPr>
        <w:pStyle w:val="BodyText"/>
      </w:pPr>
      <w:r>
        <w:t xml:space="preserve">[18] Sun W, Yan R, Jin R, Zhao R, Chen Z. FedAlign: Federated model alignment via data-free knowledge distillation for machine fault diagnosis. IEEE Transactions on Instrumentation and Measurement. 2024;73:1-12.</w:t>
      </w:r>
    </w:p>
    <w:p>
      <w:pPr>
        <w:pStyle w:val="BodyText"/>
      </w:pPr>
      <w:r>
        <w:t xml:space="preserve">[19] Bai T, Luo J, Zhao J, Wen B, Wang Q. Recent advances in adversarial training for adversarial robustness. Proceedings of IJCAI-21. 2021. p. 4312-4321.</w:t>
      </w:r>
    </w:p>
    <w:p>
      <w:pPr>
        <w:pStyle w:val="BodyText"/>
      </w:pPr>
      <w:r>
        <w:t xml:space="preserve">[20] Aldahdooh A, Hamidouche W, Fezza SA, Deforges O. Adversarial example detection for DNN models: A review and experimental comparison. Artificial Intelligence Review. 2022;55:4403-4462.</w:t>
      </w:r>
    </w:p>
    <w:p>
      <w:pPr>
        <w:pStyle w:val="BodyText"/>
      </w:pPr>
      <w:r>
        <w:t xml:space="preserve">[21] Catak FO, Kuzlu M, Catak E, Cali U, Guler O. Defensive distillation-based adversarial attack mitigation method for channel estimation using deep learning models in next-generation wireless networks. IEEE Access. 2022;10:98191-98203.</w:t>
      </w:r>
    </w:p>
    <w:p>
      <w:pPr>
        <w:pStyle w:val="BodyText"/>
      </w:pPr>
      <w:r>
        <w:t xml:space="preserve">[22] Vaswani A, Shazeer N, Parmar N, Uszkoreit J, Jones L, Gomez AN, et al. Attention is all you need. Advances in Neural Information Processing Systems. 2017;30.</w:t>
      </w:r>
    </w:p>
    <w:p>
      <w:pPr>
        <w:pStyle w:val="BodyText"/>
      </w:pPr>
      <w:r>
        <w:t xml:space="preserve">[23] Dosovitskiy A, Beyer L, Kolesnikov A, Weissenborn D, Zhai X, Unterthiner T, et al. An image is worth 16x16 words: Transformers for image recognition at scale. ICLR. 2021.</w:t>
      </w:r>
    </w:p>
    <w:p>
      <w:pPr>
        <w:pStyle w:val="BodyText"/>
      </w:pPr>
      <w:r>
        <w:t xml:space="preserve">[24] Gong Y, Chung Y-A, Glass J. AST: Audio Spectrogram Transformer. Interspeech. 2021. p. 571-575.</w:t>
      </w:r>
    </w:p>
    <w:p>
      <w:pPr>
        <w:pStyle w:val="BodyText"/>
      </w:pPr>
      <w:r>
        <w:t xml:space="preserve">[25] Chen T, Kornblith S, Norouzi M, Hinton G. A simple framework for contrastive learning of visual representations. ICML. 2020. p. 1597-1607.</w:t>
      </w:r>
    </w:p>
    <w:p>
      <w:pPr>
        <w:pStyle w:val="BodyText"/>
      </w:pPr>
      <w:r>
        <w:t xml:space="preserve">[26] Bardes A, Ponce J, LeCun Y. VICReg: Variance-invariance-covariance regularization for self-supervised learning. ICLR. 2022.</w:t>
      </w:r>
    </w:p>
    <w:p>
      <w:pPr>
        <w:pStyle w:val="BodyText"/>
      </w:pPr>
      <w:r>
        <w:t xml:space="preserve">[27] Hu EJ, Shen Y, Wallis P, Allen-Zhu Z, Li Y, Wang S, et al. LoRA: Low-rank adaptation of large language models. ICLR. 2022.</w:t>
      </w:r>
    </w:p>
    <w:p>
      <w:pPr>
        <w:pStyle w:val="BodyText"/>
      </w:pPr>
      <w:r>
        <w:t xml:space="preserve">[28] Dettmers T, Pagnoni A, Holtzman A, Zettlemoyer L. QLoRA: Efficient finetuning of quantized LLMs. Advances in Neural Information Processing Systems. 2023;36.</w:t>
      </w:r>
    </w:p>
    <w:p>
      <w:pPr>
        <w:pStyle w:val="BodyText"/>
      </w:pPr>
      <w:r>
        <w:t xml:space="preserve">[29] Houlsby N, Giurgiu A, Jastrzebski S, Morrone B, de Laroussilhe Q, Gesmundo A, et al. Parameter-efficient transfer learning for NLP. ICML. 2019. p. 2790-2799.</w:t>
      </w:r>
    </w:p>
    <w:p>
      <w:pPr>
        <w:pStyle w:val="BodyText"/>
      </w:pPr>
      <w:r>
        <w:t xml:space="preserve">[30] Goodfellow IJ, Shlens J, Szegedy C. Explaining and harnessing adversarial examples. ICLR. 2015.</w:t>
      </w:r>
    </w:p>
    <w:p>
      <w:pPr>
        <w:pStyle w:val="BodyText"/>
      </w:pPr>
      <w:r>
        <w:t xml:space="preserve">[31] Madry A, Makelov A, Schmidt L, Tsipras D, Vladu A. Towards deep learning models resistant to adversarial attacks. ICLR. 2018.</w:t>
      </w:r>
    </w:p>
    <w:p>
      <w:pPr>
        <w:pStyle w:val="BodyText"/>
      </w:pPr>
      <w:r>
        <w:t xml:space="preserve">[32] Cohen J, Rosenfeld E, Kolter Z. Certified adversarial robustness via randomized smoothing. ICML. 2019. p. 1310-1320.</w:t>
      </w:r>
    </w:p>
    <w:p>
      <w:pPr>
        <w:pStyle w:val="BodyText"/>
      </w:pPr>
      <w:r>
        <w:t xml:space="preserve">[33] Muller N, Reermann J, Meisen T. Navigating the depths: A comprehensive survey of deep learning for passive underwater acoustic target recognition. IEEE Access. 2024;12:154092-154118. doi:10.1109/ACCESS.2024.3480788.</w:t>
      </w:r>
    </w:p>
    <w:p>
      <w:pPr>
        <w:pStyle w:val="BodyText"/>
      </w:pPr>
      <w:r>
        <w:t xml:space="preserve">[34] Lin L, Chen Y, Wang F. Underwater passive target recognition based on self-supervised contrastive learning. Proceedings of the 2024 3rd International Conference on Artificial Intelligence, Internet of Things and Cloud Computing Technology (AIoTC). IEEE; 2024. p. 375-380.</w:t>
      </w:r>
    </w:p>
    <w:p>
      <w:pPr>
        <w:pStyle w:val="BodyText"/>
      </w:pPr>
      <w:r>
        <w:t xml:space="preserve">[35] Feng S, Zhu X, Ma S. Masking hierarchical tokens for underwater acoustic target recognition with self-supervised learning. IEEE/ACM Transactions on Audio, Speech, and Language Processing. 2024;32:1365-1379.</w:t>
      </w:r>
    </w:p>
    <w:p>
      <w:pPr>
        <w:pStyle w:val="BodyText"/>
      </w:pPr>
      <w:r>
        <w:t xml:space="preserve">[36] Zhao Y, Xie G, Chen H, Chen M, Huang L. Enhancing underwater acoustic target recognition through advanced feature fusion and deep learning. Journal of Marine Science and Engineering. 2025;13(2):278.</w:t>
      </w:r>
    </w:p>
    <w:p>
      <w:pPr>
        <w:pStyle w:val="BodyText"/>
      </w:pPr>
      <w:r>
        <w:t xml:space="preserve">[37] Yao H, Gao T, Wang Y, Wang H, Chen X. Mobile_ViT: Underwater acoustic target recognition method based on local-global feature fusion. Journal of Marine Science and Engineering. 2024;12(4):589.</w:t>
      </w:r>
    </w:p>
    <w:p>
      <w:pPr>
        <w:pStyle w:val="BodyText"/>
      </w:pPr>
      <w:r>
        <w:t xml:space="preserve">[38] Yang K, Wang B, Fang Z, Cai B. An end-to-end underwater acoustic target recognition model based on one-dimensional convolution and Transformer. Journal of Marine Science and Engineering. 2024;12(10):1793.</w:t>
      </w:r>
    </w:p>
    <w:p>
      <w:pPr>
        <w:pStyle w:val="BodyText"/>
      </w:pPr>
      <w:r>
        <w:t xml:space="preserve">[39] Huang Q, Zhang X, Jin A, Lei M, Zeng M, Cao P, Na Z, Zeng X. Efficient one-dimensional network design method for underwater acoustic target recognition. Journal of Marine Science and Engineering. 2025;13(3):599.</w:t>
      </w:r>
    </w:p>
    <w:p>
      <w:pPr>
        <w:pStyle w:val="BodyText"/>
      </w:pPr>
      <w:r>
        <w:t xml:space="preserve">[40] Guo H, Wang B, Fang T, Liu B. A novel ViT model with wavelet convolution and SLAttention modules for underwater acoustic target recognition. Journal of Marine Science and Engineering. 2025;13(4):634.</w:t>
      </w:r>
    </w:p>
    <w:p>
      <w:pPr>
        <w:pStyle w:val="BodyText"/>
      </w:pPr>
      <w:r>
        <w:t xml:space="preserve">[41] Tang J, Ma E, Qu Y, Gao W, Zhang Y, Gan L. UAPT: An underwater acoustic target recognition method based on pre-trained Transformer. Multimedia Systems. 2025;31(1):50.</w:t>
      </w:r>
    </w:p>
    <w:p>
      <w:pPr>
        <w:pStyle w:val="BodyText"/>
      </w:pPr>
      <w:r>
        <w:t xml:space="preserve">[42] Bi D, Zhang L, Chen J. A new Two-Stream Temporal-Frequency Transformer network for underwater acoustic target recognition. Signal Processing. 2025;231:109891.</w:t>
      </w:r>
    </w:p>
    <w:p>
      <w:pPr>
        <w:pStyle w:val="BodyText"/>
      </w:pPr>
      <w:r>
        <w:t xml:space="preserve">[43] Yang C, Xu Q, Feng M, Yang H, Yuan Y, Dou Y, Zhao J, Xu K. Hybrid local-global representation learning with stochastic Gaussian classification for underwater acoustic target recognition. Scientific Reports. 2026;16:2376.</w:t>
      </w:r>
    </w:p>
    <w:p>
      <w:pPr>
        <w:pStyle w:val="BodyText"/>
      </w:pPr>
      <w:r>
        <w:t xml:space="preserve">[44] Qian P, Wang J, Liu Y, Chen Y, Wang P, Deng Y, Xiao P, Li Z. Multi-task mixture-of-experts model for underwater target localization and recognition. Remote Sensing. 2025;17(17):2961.</w:t>
      </w:r>
    </w:p>
    <w:p>
      <w:pPr>
        <w:pStyle w:val="BodyText"/>
      </w:pPr>
      <w:r>
        <w:t xml:space="preserve">[45] Fang H, Xie Y, Ren J, Wang W, et al. A momentum-based adversarial training approach for generalization in underwater acoustic target recognition: An individual-vessel perspective. Journal of the Acoustical Society of America. 2025;157(5):3508-3523.</w:t>
      </w:r>
    </w:p>
    <w:p>
      <w:pPr>
        <w:pStyle w:val="BodyText"/>
      </w:pPr>
      <w:r>
        <w:t xml:space="preserve">[46] Xie Y, Xu J, Ren J, Li J. Adversarial multi-task underwater acoustic target recognition: Toward robustness against various influential factors. Journal of the Acoustical Society of America. 2024;156(1):299-313.</w:t>
      </w:r>
    </w:p>
    <w:p>
      <w:pPr>
        <w:pStyle w:val="BodyText"/>
      </w:pPr>
      <w:r>
        <w:t xml:space="preserve">[47] Deng S, Hong F. Advancing underwater acoustic target recognition in low-SNR environments with UATR-DIFF-Transformer. Ocean Engineering. 2025;341:122668.</w:t>
      </w:r>
    </w:p>
    <w:p>
      <w:pPr>
        <w:pStyle w:val="BodyText"/>
      </w:pPr>
      <w:r>
        <w:t xml:space="preserve">[48] Zhu Q, et al. SSAST-Adapter: A parameter-efficient incremental learning algorithm for underwater acoustic target recognition. Proceedings of ICASSP 2025 - IEEE International Conference on Acoustics, Speech and Signal Processing. IEEE; 2025. p. 1-5.</w:t>
      </w:r>
    </w:p>
    <w:p>
      <w:pPr>
        <w:pStyle w:val="BodyText"/>
      </w:pPr>
      <w:r>
        <w:t xml:space="preserve">[49] Fu B, Nie J, Wei W, Zhang L. Constructing a multi-modal based underwater acoustic target recognition method with a pre-trained language-audio model. IEEE Transactions on Geoscience and Remote Sensing. 2025;63:1-14.</w:t>
      </w:r>
    </w:p>
    <w:p>
      <w:pPr>
        <w:pStyle w:val="BodyText"/>
      </w:pPr>
      <w:r>
        <w:t xml:space="preserve">[50] Oord A van den, Li Y, Vinyals O. Representation learning with contrastive predictive coding. arXiv preprint arXiv:1807.03748. 2018.</w:t>
      </w:r>
    </w:p>
    <w:p>
      <w:pPr>
        <w:pStyle w:val="BodyText"/>
      </w:pPr>
      <w:r>
        <w:t xml:space="preserve">[51] Santos-Dominguez D, Torres-Guijarro S, Cardenal-Lopez A, Pena-Gimenez A. ShipsEar: An underwater vessel noise database. Applied Acoustics. 2016;113:64-69.</w:t>
      </w:r>
    </w:p>
    <w:p>
      <w:pPr>
        <w:pStyle w:val="BodyText"/>
      </w:pPr>
      <w:r>
        <w:t xml:space="preserve">[52] Irfan M, Jiang Z, Ali S, Iqbal M, Masood Z, Hamid U. DeepShip: An underwater acoustic benchmark dataset and a separable convolution based autoencoder for classification. Expert Systems with Applications. 2021;183:115270.</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MAIR-UATR: A Meta-Adaptive, Interpretable and Robust Acoustic Transformer for Generalizable Underwater Acoustic Target Recognition</dc:title>
  <dc:creator>Author names and affiliations to be inserted</dc:creator>
  <cp:keywords/>
  <dcterms:created xsi:type="dcterms:W3CDTF">2026-07-02T08:41:51Z</dcterms:created>
  <dcterms:modified xsi:type="dcterms:W3CDTF">2026-07-02T08:41:51Z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Manuscript draft prepared for Applied Acoustics (Elsevier)</vt:lpwstr>
  </property>
  <property fmtid="{D5CDD505-2E9C-101B-9397-08002B2CF9AE}" pid="3" name="fontsize">
    <vt:lpwstr>10pt</vt:lpwstr>
  </property>
  <property fmtid="{D5CDD505-2E9C-101B-9397-08002B2CF9AE}" pid="4" name="geometry">
    <vt:lpwstr>margin=0.75in</vt:lpwstr>
  </property>
</Properties>
</file>