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Benevolent</w:t>
      </w:r>
      <w:r>
        <w:t xml:space="preserve"> </w:t>
      </w:r>
      <w:r>
        <w:t xml:space="preserve">and</w:t>
      </w:r>
      <w:r>
        <w:t xml:space="preserve"> </w:t>
      </w:r>
      <w:r>
        <w:t xml:space="preserve">Aggressive</w:t>
      </w:r>
      <w:r>
        <w:t xml:space="preserve"> </w:t>
      </w:r>
      <w:r>
        <w:t xml:space="preserve">Models</w:t>
      </w:r>
      <w:r>
        <w:t xml:space="preserve"> </w:t>
      </w:r>
      <w:r>
        <w:t xml:space="preserve">in</w:t>
      </w:r>
      <w:r>
        <w:t xml:space="preserve"> </w:t>
      </w:r>
      <w:r>
        <w:t xml:space="preserve">DEA:</w:t>
      </w:r>
      <w:r>
        <w:t xml:space="preserve"> </w:t>
      </w:r>
      <w:r>
        <w:t xml:space="preserve">Clarification</w:t>
      </w:r>
      <w:r>
        <w:t xml:space="preserve"> </w:t>
      </w:r>
      <w:r>
        <w:t xml:space="preserve">of</w:t>
      </w:r>
      <w:r>
        <w:t xml:space="preserve"> </w:t>
      </w:r>
      <w:r>
        <w:t xml:space="preserve">Ebrahimi</w:t>
      </w:r>
      <w:r>
        <w:t xml:space="preserve"> </w:t>
      </w:r>
      <w:r>
        <w:t xml:space="preserve">et</w:t>
      </w:r>
      <w:r>
        <w:t xml:space="preserve"> </w:t>
      </w:r>
      <w:r>
        <w:t xml:space="preserve">al. (2022)</w:t>
      </w:r>
    </w:p>
    <w:p>
      <w:pPr>
        <w:pStyle w:val="Author"/>
      </w:pPr>
      <w:r>
        <w:t xml:space="preserve">Prepared</w:t>
      </w:r>
      <w:r>
        <w:t xml:space="preserve"> </w:t>
      </w:r>
      <w:r>
        <w:t xml:space="preserve">from</w:t>
      </w:r>
      <w:r>
        <w:t xml:space="preserve"> </w:t>
      </w:r>
      <w:r>
        <w:t xml:space="preserve">the</w:t>
      </w:r>
      <w:r>
        <w:t xml:space="preserve"> </w:t>
      </w:r>
      <w:r>
        <w:t xml:space="preserve">discussion</w:t>
      </w:r>
      <w:r>
        <w:t xml:space="preserve"> </w:t>
      </w:r>
      <w:r>
        <w:t xml:space="preserve">and</w:t>
      </w:r>
      <w:r>
        <w:t xml:space="preserve"> </w:t>
      </w:r>
      <w:r>
        <w:t xml:space="preserve">the</w:t>
      </w:r>
      <w:r>
        <w:t xml:space="preserve"> </w:t>
      </w:r>
      <w:r>
        <w:t xml:space="preserve">implementation</w:t>
      </w:r>
      <w:r>
        <w:t xml:space="preserve"> </w:t>
      </w:r>
      <w:r>
        <w:t xml:space="preserve">file</w:t>
      </w:r>
      <w:r>
        <w:t xml:space="preserve"> </w:t>
      </w:r>
      <w:r>
        <w:t xml:space="preserve">22.py</w:t>
      </w:r>
    </w:p>
    <w:p>
      <w:pPr>
        <w:pStyle w:val="Date"/>
      </w:pPr>
      <w:r>
        <w:t xml:space="preserve">July</w:t>
      </w:r>
      <w:r>
        <w:t xml:space="preserve"> </w:t>
      </w:r>
      <w:r>
        <w:t xml:space="preserve">2,</w:t>
      </w:r>
      <w:r>
        <w:t xml:space="preserve"> </w:t>
      </w:r>
      <w:r>
        <w:t xml:space="preserve">2026</w:t>
      </w:r>
    </w:p>
    <w:bookmarkStart w:id="20" w:name="purpose"/>
    <w:p>
      <w:pPr>
        <w:pStyle w:val="Heading1"/>
      </w:pPr>
      <w:r>
        <w:t xml:space="preserve">Purpose</w:t>
      </w:r>
    </w:p>
    <w:p>
      <w:pPr>
        <w:pStyle w:val="FirstParagraph"/>
      </w:pPr>
      <w:r>
        <w:t xml:space="preserve">This note clarifies four questions about Bohlool Ebrahimi, Lalitha Dhamotharan, Mohammad Reza Ghasemi, and Vincent Charles,</w:t>
      </w:r>
      <w:r>
        <w:t xml:space="preserve"> </w:t>
      </w:r>
      <w:r>
        <w:t xml:space="preserve">“</w:t>
      </w:r>
      <w:r>
        <w:t xml:space="preserve">A cross-inefficiency approach based on the deviation variables framework</w:t>
      </w:r>
      <w:r>
        <w:t xml:space="preserve">”</w:t>
      </w:r>
      <w:r>
        <w:t xml:space="preserve">,</w:t>
      </w:r>
      <w:r>
        <w:t xml:space="preserve"> </w:t>
      </w:r>
      <w:r>
        <w:rPr>
          <w:i/>
          <w:iCs/>
        </w:rPr>
        <w:t xml:space="preserve">Omega</w:t>
      </w:r>
      <w:r>
        <w:t xml:space="preserve">, 111 (2022), 102668. The explanation also follows the logic implemented in</w:t>
      </w:r>
      <w:r>
        <w:t xml:space="preserve"> </w:t>
      </w:r>
      <w:r>
        <w:rPr>
          <w:rStyle w:val="VerbatimChar"/>
        </w:rPr>
        <w:t xml:space="preserve">22.py</w:t>
      </w:r>
      <w:r>
        <w:t xml:space="preserve">.</w:t>
      </w:r>
    </w:p>
    <w:p>
      <w:pPr>
        <w:pStyle w:val="BodyText"/>
      </w:pPr>
      <w:r>
        <w:t xml:space="preserve">The central point is that the paper is not using ordinary cross-efficiency scores directly. It uses deviation variables, interpreted as cross-inefficiency scores. Therefore, the direction of the benevolent and aggressive objectives is the reverse of what one may expect in a pure efficiency-based formulation.</w:t>
      </w:r>
    </w:p>
    <w:bookmarkEnd w:id="20"/>
    <w:bookmarkStart w:id="21" w:name="X9f41df8dc05751447e5412742f99876bfb80e8d"/>
    <w:p>
      <w:pPr>
        <w:pStyle w:val="Heading1"/>
      </w:pPr>
      <w:r>
        <w:t xml:space="preserve">1. Should the benevolent model minimize or maximize?</w:t>
      </w:r>
    </w:p>
    <w:p>
      <w:pPr>
        <w:pStyle w:val="FirstParagraph"/>
      </w:pPr>
      <w:r>
        <w:t xml:space="preserve">For the formulation used in this paper, the benevolent model should minimize the sum of inefficiency scores.</w:t>
      </w:r>
    </w:p>
    <w:p>
      <w:pPr>
        <w:pStyle w:val="BodyText"/>
      </w:pPr>
      <w:r>
        <w:t xml:space="preserve">The reason is that the paper evaluates each decision-making unit (DMU) through deviation variables. Let</w:t>
      </w:r>
    </w:p>
    <w:p>
      <w:pPr>
        <w:pStyle w:val="BodyText"/>
      </w:pPr>
      <m:oMathPara>
        <m:oMathParaPr>
          <m:jc m:val="center"/>
        </m:oMathParaPr>
        <m:oMath>
          <m:sSub>
            <m:e>
              <m:r>
                <m:t>d</m:t>
              </m:r>
            </m:e>
            <m:sub>
              <m:r>
                <m:t>p</m:t>
              </m:r>
              <m:r>
                <m:t>j</m:t>
              </m:r>
            </m:sub>
          </m:sSub>
        </m:oMath>
      </m:oMathPara>
    </w:p>
    <w:p>
      <w:pPr>
        <w:pStyle w:val="FirstParagraph"/>
      </w:pPr>
      <w:r>
        <w:t xml:space="preserve">be the deviation, or inefficiency, of DMU</w:t>
      </w:r>
      <w:r>
        <w:t xml:space="preserve"> </w:t>
      </w:r>
      <m:oMath>
        <m:r>
          <m:t>j</m:t>
        </m:r>
      </m:oMath>
      <w:r>
        <w:t xml:space="preserve"> </w:t>
      </w:r>
      <w:r>
        <w:t xml:space="preserve">when it is evaluated using the weights of DMU</w:t>
      </w:r>
      <w:r>
        <w:t xml:space="preserve"> </w:t>
      </w:r>
      <m:oMath>
        <m:r>
          <m:t>p</m:t>
        </m:r>
      </m:oMath>
      <w:r>
        <w:t xml:space="preserve">.</w:t>
      </w:r>
    </w:p>
    <w:p>
      <w:pPr>
        <w:pStyle w:val="BodyText"/>
      </w:pPr>
      <w:r>
        <w:t xml:space="preserve">The corresponding efficiency expression is</w:t>
      </w:r>
    </w:p>
    <w:p>
      <w:pPr>
        <w:pStyle w:val="BodyText"/>
      </w:pPr>
      <m:oMathPara>
        <m:oMathParaPr>
          <m:jc m:val="center"/>
        </m:oMathParaPr>
        <m:oMath>
          <m:sSub>
            <m:e>
              <m:r>
                <m:t>E</m:t>
              </m:r>
            </m:e>
            <m:sub>
              <m:r>
                <m:t>p</m:t>
              </m:r>
              <m:r>
                <m:t>j</m:t>
              </m:r>
            </m:sub>
          </m:sSub>
          <m:r>
            <m:rPr>
              <m:sty m:val="p"/>
            </m:rPr>
            <m:t>=</m:t>
          </m:r>
          <m:r>
            <m:t>1</m:t>
          </m:r>
          <m:r>
            <m:rPr>
              <m:sty m:val="p"/>
            </m:rPr>
            <m:t>−</m:t>
          </m:r>
          <m:sSub>
            <m:e>
              <m:r>
                <m:t>d</m:t>
              </m:r>
            </m:e>
            <m:sub>
              <m:r>
                <m:t>p</m:t>
              </m:r>
              <m:r>
                <m:t>j</m:t>
              </m:r>
            </m:sub>
          </m:sSub>
          <m:r>
            <m:rPr>
              <m:sty m:val="p"/>
            </m:rPr>
            <m:t>.</m:t>
          </m:r>
        </m:oMath>
      </m:oMathPara>
    </w:p>
    <w:p>
      <w:pPr>
        <w:pStyle w:val="FirstParagraph"/>
      </w:pPr>
      <w:r>
        <w:t xml:space="preserve">Therefore, maximizing total peer efficiency is equivalent to minimizing total peer inefficiency:</w:t>
      </w:r>
    </w:p>
    <w:p>
      <w:pPr>
        <w:pStyle w:val="BodyText"/>
      </w:pPr>
      <m:oMathPara>
        <m:oMathParaPr>
          <m:jc m:val="center"/>
        </m:oMathParaPr>
        <m:oMath>
          <m:r>
            <m:rPr>
              <m:sty m:val="p"/>
            </m:rPr>
            <m:t>max</m:t>
          </m:r>
          <m:nary>
            <m:naryPr>
              <m:chr m:val="∑"/>
              <m:limLoc m:val="undOvr"/>
              <m:subHide m:val="off"/>
              <m:supHide m:val="off"/>
            </m:naryPr>
            <m:sub>
              <m:r>
                <m:t>j</m:t>
              </m:r>
              <m:r>
                <m:rPr>
                  <m:sty m:val="p"/>
                </m:rPr>
                <m:t>=</m:t>
              </m:r>
              <m:r>
                <m:t>1</m:t>
              </m:r>
            </m:sub>
            <m:sup>
              <m:r>
                <m:t>n</m:t>
              </m:r>
            </m:sup>
            <m:e>
              <m:sSub>
                <m:e>
                  <m:r>
                    <m:t>E</m:t>
                  </m:r>
                </m:e>
                <m:sub>
                  <m:r>
                    <m:t>p</m:t>
                  </m:r>
                  <m:r>
                    <m:t>j</m:t>
                  </m:r>
                </m:sub>
              </m:sSub>
            </m:e>
          </m:nary>
          <m:r>
            <m:rPr>
              <m:sty m:val="p"/>
            </m:rPr>
            <m:t>=</m:t>
          </m:r>
          <m:r>
            <m:rPr>
              <m:sty m:val="p"/>
            </m:rPr>
            <m:t>max</m:t>
          </m:r>
          <m:nary>
            <m:naryPr>
              <m:chr m:val="∑"/>
              <m:limLoc m:val="undOvr"/>
              <m:subHide m:val="off"/>
              <m:supHide m:val="off"/>
            </m:naryPr>
            <m:sub>
              <m:r>
                <m:t>j</m:t>
              </m:r>
              <m:r>
                <m:rPr>
                  <m:sty m:val="p"/>
                </m:rPr>
                <m:t>=</m:t>
              </m:r>
              <m:r>
                <m:t>1</m:t>
              </m:r>
            </m:sub>
            <m:sup>
              <m:r>
                <m:t>n</m:t>
              </m:r>
            </m:sup>
            <m:e>
              <m:d>
                <m:dPr>
                  <m:begChr m:val="("/>
                  <m:endChr m:val=")"/>
                  <m:sepChr m:val=""/>
                  <m:grow/>
                </m:dPr>
                <m:e>
                  <m:r>
                    <m:t>1</m:t>
                  </m:r>
                  <m:r>
                    <m:rPr>
                      <m:sty m:val="p"/>
                    </m:rPr>
                    <m:t>−</m:t>
                  </m:r>
                  <m:sSub>
                    <m:e>
                      <m:r>
                        <m:t>d</m:t>
                      </m:r>
                    </m:e>
                    <m:sub>
                      <m:r>
                        <m:t>p</m:t>
                      </m:r>
                      <m:r>
                        <m:t>j</m:t>
                      </m:r>
                    </m:sub>
                  </m:sSub>
                </m:e>
              </m:d>
            </m:e>
          </m:nary>
          <m:r>
            <m:rPr>
              <m:sty m:val="p"/>
            </m:rPr>
            <m:t>=</m:t>
          </m:r>
          <m:r>
            <m:rPr>
              <m:sty m:val="p"/>
            </m:rPr>
            <m:t>max</m:t>
          </m:r>
          <m:d>
            <m:dPr>
              <m:begChr m:val="("/>
              <m:endChr m:val=")"/>
              <m:sepChr m:val=""/>
              <m:grow/>
            </m:dPr>
            <m:e>
              <m:r>
                <m:t>n</m:t>
              </m:r>
              <m:r>
                <m:rPr>
                  <m:sty m:val="p"/>
                </m:rPr>
                <m:t>−</m:t>
              </m:r>
              <m:nary>
                <m:naryPr>
                  <m:chr m:val="∑"/>
                  <m:limLoc m:val="undOvr"/>
                  <m:subHide m:val="off"/>
                  <m:supHide m:val="off"/>
                </m:naryPr>
                <m:sub>
                  <m:r>
                    <m:t>j</m:t>
                  </m:r>
                  <m:r>
                    <m:rPr>
                      <m:sty m:val="p"/>
                    </m:rPr>
                    <m:t>=</m:t>
                  </m:r>
                  <m:r>
                    <m:t>1</m:t>
                  </m:r>
                </m:sub>
                <m:sup>
                  <m:r>
                    <m:t>n</m:t>
                  </m:r>
                </m:sup>
                <m:e>
                  <m:sSub>
                    <m:e>
                      <m:r>
                        <m:t>d</m:t>
                      </m:r>
                    </m:e>
                    <m:sub>
                      <m:r>
                        <m:t>p</m:t>
                      </m:r>
                      <m:r>
                        <m:t>j</m:t>
                      </m:r>
                    </m:sub>
                  </m:sSub>
                </m:e>
              </m:nary>
            </m:e>
          </m:d>
          <m:r>
            <m:rPr>
              <m:sty m:val="p"/>
            </m:rPr>
            <m:t>=</m:t>
          </m:r>
          <m:r>
            <m:rPr>
              <m:sty m:val="p"/>
            </m:rPr>
            <m:t>min</m:t>
          </m:r>
          <m:nary>
            <m:naryPr>
              <m:chr m:val="∑"/>
              <m:limLoc m:val="undOvr"/>
              <m:subHide m:val="off"/>
              <m:supHide m:val="off"/>
            </m:naryPr>
            <m:sub>
              <m:r>
                <m:t>j</m:t>
              </m:r>
              <m:r>
                <m:rPr>
                  <m:sty m:val="p"/>
                </m:rPr>
                <m:t>=</m:t>
              </m:r>
              <m:r>
                <m:t>1</m:t>
              </m:r>
            </m:sub>
            <m:sup>
              <m:r>
                <m:t>n</m:t>
              </m:r>
            </m:sup>
            <m:e>
              <m:sSub>
                <m:e>
                  <m:r>
                    <m:t>d</m:t>
                  </m:r>
                </m:e>
                <m:sub>
                  <m:r>
                    <m:t>p</m:t>
                  </m:r>
                  <m:r>
                    <m:t>j</m:t>
                  </m:r>
                </m:sub>
              </m:sSub>
            </m:e>
          </m:nary>
          <m:r>
            <m:rPr>
              <m:sty m:val="p"/>
            </m:rPr>
            <m:t>.</m:t>
          </m:r>
        </m:oMath>
      </m:oMathPara>
    </w:p>
    <w:p>
      <w:pPr>
        <w:pStyle w:val="FirstParagraph"/>
      </w:pPr>
      <w:r>
        <w:t xml:space="preserve">Thus, in this deviation-variable framework:</w:t>
      </w:r>
    </w:p>
    <w:p>
      <w:pPr>
        <w:pStyle w:val="BodyText"/>
      </w:pPr>
      <m:oMathPara>
        <m:oMathParaPr>
          <m:jc m:val="center"/>
        </m:oMathParaPr>
        <m:oMath>
          <m:r>
            <m:rPr>
              <m:nor/>
              <m:sty m:val="p"/>
            </m:rPr>
            <m:t>Benevolent model</m:t>
          </m:r>
          <m:r>
            <m:rPr>
              <m:sty m:val="p"/>
            </m:rPr>
            <m:t>=</m:t>
          </m:r>
          <m:r>
            <m:rPr>
              <m:sty m:val="p"/>
            </m:rPr>
            <m:t>min</m:t>
          </m:r>
          <m:nary>
            <m:naryPr>
              <m:chr m:val="∑"/>
              <m:limLoc m:val="undOvr"/>
              <m:subHide m:val="off"/>
              <m:supHide m:val="off"/>
            </m:naryPr>
            <m:sub>
              <m:r>
                <m:t>j</m:t>
              </m:r>
              <m:r>
                <m:rPr>
                  <m:sty m:val="p"/>
                </m:rPr>
                <m:t>=</m:t>
              </m:r>
              <m:r>
                <m:t>1</m:t>
              </m:r>
            </m:sub>
            <m:sup>
              <m:r>
                <m:t>n</m:t>
              </m:r>
            </m:sup>
            <m:e>
              <m:sSub>
                <m:e>
                  <m:r>
                    <m:t>d</m:t>
                  </m:r>
                </m:e>
                <m:sub>
                  <m:r>
                    <m:t>p</m:t>
                  </m:r>
                  <m:r>
                    <m:t>j</m:t>
                  </m:r>
                </m:sub>
              </m:sSub>
            </m:e>
          </m:nary>
          <m:r>
            <m:rPr>
              <m:sty m:val="p"/>
            </m:rPr>
            <m:t>,</m:t>
          </m:r>
        </m:oMath>
      </m:oMathPara>
    </w:p>
    <w:p>
      <w:pPr>
        <w:pStyle w:val="FirstParagraph"/>
      </w:pPr>
      <w:r>
        <w:t xml:space="preserve">whereas</w:t>
      </w:r>
    </w:p>
    <w:p>
      <w:pPr>
        <w:pStyle w:val="BodyText"/>
      </w:pPr>
      <m:oMathPara>
        <m:oMathParaPr>
          <m:jc m:val="center"/>
        </m:oMathParaPr>
        <m:oMath>
          <m:r>
            <m:rPr>
              <m:nor/>
              <m:sty m:val="p"/>
            </m:rPr>
            <m:t>Aggressive model</m:t>
          </m:r>
          <m:r>
            <m:rPr>
              <m:sty m:val="p"/>
            </m:rPr>
            <m:t>=</m:t>
          </m:r>
          <m:r>
            <m:rPr>
              <m:sty m:val="p"/>
            </m:rPr>
            <m:t>max</m:t>
          </m:r>
          <m:nary>
            <m:naryPr>
              <m:chr m:val="∑"/>
              <m:limLoc m:val="undOvr"/>
              <m:subHide m:val="off"/>
              <m:supHide m:val="off"/>
            </m:naryPr>
            <m:sub>
              <m:r>
                <m:t>j</m:t>
              </m:r>
              <m:r>
                <m:rPr>
                  <m:sty m:val="p"/>
                </m:rPr>
                <m:t>=</m:t>
              </m:r>
              <m:r>
                <m:t>1</m:t>
              </m:r>
            </m:sub>
            <m:sup>
              <m:r>
                <m:t>n</m:t>
              </m:r>
            </m:sup>
            <m:e>
              <m:sSub>
                <m:e>
                  <m:r>
                    <m:t>d</m:t>
                  </m:r>
                </m:e>
                <m:sub>
                  <m:r>
                    <m:t>p</m:t>
                  </m:r>
                  <m:r>
                    <m:t>j</m:t>
                  </m:r>
                </m:sub>
              </m:sSub>
            </m:e>
          </m:nary>
          <m:r>
            <m:rPr>
              <m:sty m:val="p"/>
            </m:rPr>
            <m:t>.</m:t>
          </m:r>
        </m:oMath>
      </m:oMathPara>
    </w:p>
    <w:p>
      <w:pPr>
        <w:pStyle w:val="FirstParagraph"/>
      </w:pPr>
      <w:r>
        <w:t xml:space="preserve">So the paper is mathematically correct on this point. If the paper had used efficiency scores directly, then the benevolent model would maximize peer efficiency. Because it uses inefficiency scores, the benevolent model minimizes peer inefficiency.</w:t>
      </w:r>
    </w:p>
    <w:bookmarkEnd w:id="21"/>
    <w:bookmarkStart w:id="22" w:name="X77e76132d751c739c3c0835df08e0174d345f24"/>
    <w:p>
      <w:pPr>
        <w:pStyle w:val="Heading1"/>
      </w:pPr>
      <w:r>
        <w:t xml:space="preserve">2. Is there a contradiction in the paper’s explanation of Table 3?</w:t>
      </w:r>
    </w:p>
    <w:p>
      <w:pPr>
        <w:pStyle w:val="FirstParagraph"/>
      </w:pPr>
      <w:r>
        <w:t xml:space="preserve">Yes. The sentence about Michigan, Darden, and Tuck appears to be inconsistent with the published Table 3.</w:t>
      </w:r>
    </w:p>
    <w:p>
      <w:pPr>
        <w:pStyle w:val="BodyText"/>
      </w:pPr>
      <w:r>
        <w:t xml:space="preserve">The paper states that, under the VRS solution, Michigan, Darden, and Tuck possess the same ranking in both the benevolent and aggressive models. However, Table 3 reports the following VRS ranks: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DMU</w:t>
            </w:r>
          </w:p>
        </w:tc>
        <w:tc>
          <w:tcPr/>
          <w:p>
            <w:pPr>
              <w:pStyle w:val="Compact"/>
              <w:jc w:val="right"/>
            </w:pPr>
            <w:r>
              <w:t xml:space="preserve">VRS benevolent rank</w:t>
            </w:r>
          </w:p>
        </w:tc>
        <w:tc>
          <w:tcPr/>
          <w:p>
            <w:pPr>
              <w:pStyle w:val="Compact"/>
              <w:jc w:val="right"/>
            </w:pPr>
            <w:r>
              <w:t xml:space="preserve">VRS aggressive rank</w:t>
            </w:r>
          </w:p>
        </w:tc>
        <w:tc>
          <w:tcPr/>
          <w:p>
            <w:pPr>
              <w:pStyle w:val="Compact"/>
              <w:jc w:val="center"/>
            </w:pPr>
            <w:r>
              <w:t xml:space="preserve">Same rank?</w:t>
            </w:r>
          </w:p>
        </w:tc>
      </w:tr>
      <w:tr>
        <w:tc>
          <w:tcPr/>
          <w:p>
            <w:pPr>
              <w:pStyle w:val="Compact"/>
              <w:jc w:val="left"/>
            </w:pPr>
            <w:r>
              <w:t xml:space="preserve">Michigan</w:t>
            </w:r>
          </w:p>
        </w:tc>
        <w:tc>
          <w:tcPr/>
          <w:p>
            <w:pPr>
              <w:pStyle w:val="Compact"/>
              <w:jc w:val="right"/>
            </w:pPr>
            <w:r>
              <w:t xml:space="preserve">1</w:t>
            </w:r>
          </w:p>
        </w:tc>
        <w:tc>
          <w:tcPr/>
          <w:p>
            <w:pPr>
              <w:pStyle w:val="Compact"/>
              <w:jc w:val="right"/>
            </w:pPr>
            <w:r>
              <w:t xml:space="preserve">1</w:t>
            </w:r>
          </w:p>
        </w:tc>
        <w:tc>
          <w:tcPr/>
          <w:p>
            <w:pPr>
              <w:pStyle w:val="Compact"/>
              <w:jc w:val="center"/>
            </w:pPr>
            <w:r>
              <w:t xml:space="preserve">Yes</w:t>
            </w:r>
          </w:p>
        </w:tc>
      </w:tr>
      <w:tr>
        <w:tc>
          <w:tcPr/>
          <w:p>
            <w:pPr>
              <w:pStyle w:val="Compact"/>
              <w:jc w:val="left"/>
            </w:pPr>
            <w:r>
              <w:t xml:space="preserve">Darden</w:t>
            </w:r>
          </w:p>
        </w:tc>
        <w:tc>
          <w:tcPr/>
          <w:p>
            <w:pPr>
              <w:pStyle w:val="Compact"/>
              <w:jc w:val="right"/>
            </w:pPr>
            <w:r>
              <w:t xml:space="preserve">7</w:t>
            </w:r>
          </w:p>
        </w:tc>
        <w:tc>
          <w:tcPr/>
          <w:p>
            <w:pPr>
              <w:pStyle w:val="Compact"/>
              <w:jc w:val="right"/>
            </w:pPr>
            <w:r>
              <w:t xml:space="preserve">3</w:t>
            </w:r>
          </w:p>
        </w:tc>
        <w:tc>
          <w:tcPr/>
          <w:p>
            <w:pPr>
              <w:pStyle w:val="Compact"/>
              <w:jc w:val="center"/>
            </w:pPr>
            <w:r>
              <w:t xml:space="preserve">No</w:t>
            </w:r>
          </w:p>
        </w:tc>
      </w:tr>
      <w:tr>
        <w:tc>
          <w:tcPr/>
          <w:p>
            <w:pPr>
              <w:pStyle w:val="Compact"/>
              <w:jc w:val="left"/>
            </w:pPr>
            <w:r>
              <w:t xml:space="preserve">Tuck</w:t>
            </w:r>
          </w:p>
        </w:tc>
        <w:tc>
          <w:tcPr/>
          <w:p>
            <w:pPr>
              <w:pStyle w:val="Compact"/>
              <w:jc w:val="right"/>
            </w:pPr>
            <w:r>
              <w:t xml:space="preserve">9</w:t>
            </w:r>
          </w:p>
        </w:tc>
        <w:tc>
          <w:tcPr/>
          <w:p>
            <w:pPr>
              <w:pStyle w:val="Compact"/>
              <w:jc w:val="right"/>
            </w:pPr>
            <w:r>
              <w:t xml:space="preserve">2</w:t>
            </w:r>
          </w:p>
        </w:tc>
        <w:tc>
          <w:tcPr/>
          <w:p>
            <w:pPr>
              <w:pStyle w:val="Compact"/>
              <w:jc w:val="center"/>
            </w:pPr>
            <w:r>
              <w:t xml:space="preserve">No</w:t>
            </w:r>
          </w:p>
        </w:tc>
      </w:tr>
    </w:tbl>
    <w:p>
      <w:pPr>
        <w:pStyle w:val="BodyText"/>
      </w:pPr>
      <w:r>
        <w:t xml:space="preserve">Therefore, only Michigan is stable in both VRS rankings. Darden and Tuck do not have the same ranks in the benevolent and aggressive VRS models.</w:t>
      </w:r>
    </w:p>
    <w:p>
      <w:pPr>
        <w:pStyle w:val="BodyText"/>
      </w:pPr>
      <w:r>
        <w:t xml:space="preserve">A corrected version of the paper’s statement would be:</w:t>
      </w:r>
    </w:p>
    <w:p>
      <w:pPr>
        <w:pStyle w:val="BlockText"/>
      </w:pPr>
      <w:r>
        <w:t xml:space="preserve">For the VRS solution, Michigan remains ranked first in both the benevolent and aggressive models, while several other DMUs, including Darden and Tuck, change their ranking positions between the two scenarios.</w:t>
      </w:r>
    </w:p>
    <w:p>
      <w:pPr>
        <w:pStyle w:val="FirstParagraph"/>
      </w:pPr>
      <w:r>
        <w:t xml:space="preserve">This is best understood as a textual or editorial error in the paper, not as a mathematical error in the model.</w:t>
      </w:r>
    </w:p>
    <w:bookmarkEnd w:id="22"/>
    <w:bookmarkStart w:id="30" w:name="Xd02d41d63a4ef495b5fa25380b4b5c2958d473e"/>
    <w:p>
      <w:pPr>
        <w:pStyle w:val="Heading1"/>
      </w:pPr>
      <w:r>
        <w:t xml:space="preserve">3. Concepts, formulae, differences, and correlations</w:t>
      </w:r>
    </w:p>
    <w:bookmarkStart w:id="23" w:name="basic-dea-cross-evaluation-idea"/>
    <w:p>
      <w:pPr>
        <w:pStyle w:val="Heading2"/>
      </w:pPr>
      <w:r>
        <w:t xml:space="preserve">3.1 Basic DEA cross-evaluation idea</w:t>
      </w:r>
    </w:p>
    <w:p>
      <w:pPr>
        <w:pStyle w:val="FirstParagraph"/>
      </w:pPr>
      <w:r>
        <w:t xml:space="preserve">In conventional DEA, each DMU chooses the input and output weights that make itself look as efficient as possible. However, the optimal weights are often non-unique. Cross-evaluation asks what happens when the weights of one DMU are used to evaluate other DMUs.</w:t>
      </w:r>
    </w:p>
    <w:p>
      <w:pPr>
        <w:pStyle w:val="BodyText"/>
      </w:pPr>
      <w:r>
        <w:t xml:space="preserve">In this paper, the authors use a cross-inefficiency matrix instead of a cross-efficiency matrix:</w:t>
      </w:r>
    </w:p>
    <w:p>
      <w:pPr>
        <w:pStyle w:val="BodyText"/>
      </w:pPr>
      <m:oMathPara>
        <m:oMathParaPr>
          <m:jc m:val="center"/>
        </m:oMathParaPr>
        <m:oMath>
          <m:r>
            <m:t>D</m:t>
          </m:r>
          <m:r>
            <m:rPr>
              <m:sty m:val="p"/>
            </m:rPr>
            <m:t>=</m:t>
          </m:r>
          <m:sSub>
            <m:e>
              <m:d>
                <m:dPr>
                  <m:begChr m:val="["/>
                  <m:endChr m:val="]"/>
                  <m:sepChr m:val=""/>
                  <m:grow/>
                </m:dPr>
                <m:e>
                  <m:sSub>
                    <m:e>
                      <m:r>
                        <m:t>d</m:t>
                      </m:r>
                    </m:e>
                    <m:sub>
                      <m:r>
                        <m:t>k</m:t>
                      </m:r>
                      <m:r>
                        <m:t>j</m:t>
                      </m:r>
                    </m:sub>
                  </m:sSub>
                </m:e>
              </m:d>
            </m:e>
            <m:sub>
              <m:r>
                <m:t>n</m:t>
              </m:r>
              <m:r>
                <m:rPr>
                  <m:sty m:val="p"/>
                </m:rPr>
                <m:t>×</m:t>
              </m:r>
              <m:r>
                <m:t>n</m:t>
              </m:r>
            </m:sub>
          </m:sSub>
          <m:r>
            <m:rPr>
              <m:sty m:val="p"/>
            </m:rPr>
            <m:t>.</m:t>
          </m:r>
        </m:oMath>
      </m:oMathPara>
    </w:p>
    <w:p>
      <w:pPr>
        <w:pStyle w:val="FirstParagraph"/>
      </w:pPr>
      <w:r>
        <w:t xml:space="preserve">The element</w:t>
      </w:r>
      <w:r>
        <w:t xml:space="preserve"> </w:t>
      </w:r>
      <m:oMath>
        <m:sSub>
          <m:e>
            <m:r>
              <m:t>d</m:t>
            </m:r>
          </m:e>
          <m:sub>
            <m:r>
              <m:t>k</m:t>
            </m:r>
            <m:r>
              <m:t>j</m:t>
            </m:r>
          </m:sub>
        </m:sSub>
      </m:oMath>
      <w:r>
        <w:t xml:space="preserve"> </w:t>
      </w:r>
      <w:r>
        <w:t xml:space="preserve">means the inefficiency of DMU</w:t>
      </w:r>
      <w:r>
        <w:t xml:space="preserve"> </w:t>
      </w:r>
      <m:oMath>
        <m:r>
          <m:t>j</m:t>
        </m:r>
      </m:oMath>
      <w:r>
        <w:t xml:space="preserve"> </w:t>
      </w:r>
      <w:r>
        <w:t xml:space="preserve">when DMU</w:t>
      </w:r>
      <w:r>
        <w:t xml:space="preserve"> </w:t>
      </w:r>
      <m:oMath>
        <m:r>
          <m:t>k</m:t>
        </m:r>
      </m:oMath>
      <w:r>
        <w:t xml:space="preserve">’s weights are used.</w:t>
      </w:r>
    </w:p>
    <w:p>
      <w:pPr>
        <w:pStyle w:val="BodyText"/>
      </w:pPr>
      <w:r>
        <w:t xml:space="preserve">The diagonal element</w:t>
      </w:r>
    </w:p>
    <w:p>
      <w:pPr>
        <w:pStyle w:val="BodyText"/>
      </w:pPr>
      <m:oMathPara>
        <m:oMathParaPr>
          <m:jc m:val="center"/>
        </m:oMathParaPr>
        <m:oMath>
          <m:sSub>
            <m:e>
              <m:r>
                <m:t>d</m:t>
              </m:r>
            </m:e>
            <m:sub>
              <m:r>
                <m:t>j</m:t>
              </m:r>
              <m:r>
                <m:t>j</m:t>
              </m:r>
            </m:sub>
          </m:sSub>
        </m:oMath>
      </m:oMathPara>
    </w:p>
    <w:p>
      <w:pPr>
        <w:pStyle w:val="FirstParagraph"/>
      </w:pPr>
      <w:r>
        <w:t xml:space="preserve">is the self-inefficiency of DMU</w:t>
      </w:r>
      <w:r>
        <w:t xml:space="preserve"> </w:t>
      </w:r>
      <m:oMath>
        <m:r>
          <m:t>j</m:t>
        </m:r>
      </m:oMath>
      <w:r>
        <w:t xml:space="preserve"> </w:t>
      </w:r>
      <w:r>
        <w:t xml:space="preserve">under its own most favorable weights. Therefore, the technical efficiency of DMU</w:t>
      </w:r>
      <w:r>
        <w:t xml:space="preserve"> </w:t>
      </w:r>
      <m:oMath>
        <m:r>
          <m:t>j</m:t>
        </m:r>
      </m:oMath>
      <w:r>
        <w:t xml:space="preserve"> </w:t>
      </w:r>
      <w:r>
        <w:t xml:space="preserve">is</w:t>
      </w:r>
    </w:p>
    <w:p>
      <w:pPr>
        <w:pStyle w:val="BodyText"/>
      </w:pPr>
      <m:oMathPara>
        <m:oMathParaPr>
          <m:jc m:val="center"/>
        </m:oMathParaPr>
        <m:oMath>
          <m:r>
            <m:t>T</m:t>
          </m:r>
          <m:sSub>
            <m:e>
              <m:r>
                <m:t>E</m:t>
              </m:r>
            </m:e>
            <m:sub>
              <m:r>
                <m:t>j</m:t>
              </m:r>
            </m:sub>
          </m:sSub>
          <m:r>
            <m:rPr>
              <m:sty m:val="p"/>
            </m:rPr>
            <m:t>=</m:t>
          </m:r>
          <m:r>
            <m:t>1</m:t>
          </m:r>
          <m:r>
            <m:rPr>
              <m:sty m:val="p"/>
            </m:rPr>
            <m:t>−</m:t>
          </m:r>
          <m:sSub>
            <m:e>
              <m:r>
                <m:t>d</m:t>
              </m:r>
            </m:e>
            <m:sub>
              <m:r>
                <m:t>j</m:t>
              </m:r>
              <m:r>
                <m:t>j</m:t>
              </m:r>
            </m:sub>
          </m:sSub>
          <m:r>
            <m:rPr>
              <m:sty m:val="p"/>
            </m:rPr>
            <m:t>.</m:t>
          </m:r>
        </m:oMath>
      </m:oMathPara>
    </w:p>
    <w:bookmarkEnd w:id="23"/>
    <w:bookmarkStart w:id="24" w:name="step-1-self-inefficiency-model"/>
    <w:p>
      <w:pPr>
        <w:pStyle w:val="Heading2"/>
      </w:pPr>
      <w:r>
        <w:t xml:space="preserve">3.2 Step 1: self-inefficiency model</w:t>
      </w:r>
    </w:p>
    <w:p>
      <w:pPr>
        <w:pStyle w:val="FirstParagraph"/>
      </w:pPr>
      <w:r>
        <w:t xml:space="preserve">For each evaluated DMU</w:t>
      </w:r>
      <w:r>
        <w:t xml:space="preserve"> </w:t>
      </w:r>
      <m:oMath>
        <m:r>
          <m:t>p</m:t>
        </m:r>
      </m:oMath>
      <w:r>
        <w:t xml:space="preserve">, the first step solves a deviation-variable DEA model:</w:t>
      </w:r>
    </w:p>
    <w:p>
      <w:pPr>
        <w:pStyle w:val="BodyText"/>
      </w:pPr>
      <m:oMathPara>
        <m:oMathParaPr>
          <m:jc m:val="center"/>
        </m:oMathParaPr>
        <m:oMath>
          <m:r>
            <m:rPr>
              <m:sty m:val="p"/>
            </m:rPr>
            <m:t>min</m:t>
          </m:r>
          <m:sSub>
            <m:e>
              <m:r>
                <m:t>d</m:t>
              </m:r>
            </m:e>
            <m:sub>
              <m:r>
                <m:t>p</m:t>
              </m:r>
              <m:r>
                <m:t>p</m:t>
              </m:r>
            </m:sub>
          </m:sSub>
        </m:oMath>
      </m:oMathPara>
    </w:p>
    <w:p>
      <w:pPr>
        <w:pStyle w:val="FirstParagraph"/>
      </w:pPr>
      <w:r>
        <w:t xml:space="preserve">subject to</w:t>
      </w:r>
    </w:p>
    <w:p>
      <w:pPr>
        <w:pStyle w:val="BodyText"/>
      </w:pPr>
      <m:oMathPara>
        <m:oMathParaPr>
          <m:jc m:val="center"/>
        </m:oMathParaPr>
        <m:oMath>
          <m:nary>
            <m:naryPr>
              <m:chr m:val="∑"/>
              <m:limLoc m:val="undOvr"/>
              <m:subHide m:val="off"/>
              <m:supHide m:val="off"/>
            </m:naryPr>
            <m:sub>
              <m:r>
                <m:t>i</m:t>
              </m:r>
              <m:r>
                <m:rPr>
                  <m:sty m:val="p"/>
                </m:rPr>
                <m:t>=</m:t>
              </m:r>
              <m:r>
                <m:t>1</m:t>
              </m:r>
            </m:sub>
            <m:sup>
              <m:r>
                <m:t>m</m:t>
              </m:r>
            </m:sup>
            <m:e>
              <m:sSub>
                <m:e>
                  <m:r>
                    <m:t>v</m:t>
                  </m:r>
                </m:e>
                <m:sub>
                  <m:r>
                    <m:t>i</m:t>
                  </m:r>
                  <m:r>
                    <m:t>p</m:t>
                  </m:r>
                </m:sub>
              </m:sSub>
            </m:e>
          </m:nary>
          <m:sSub>
            <m:e>
              <m:r>
                <m:t>x</m:t>
              </m:r>
            </m:e>
            <m:sub>
              <m:r>
                <m:t>i</m:t>
              </m:r>
              <m:r>
                <m:t>p</m:t>
              </m:r>
            </m:sub>
          </m:sSub>
          <m:r>
            <m:rPr>
              <m:sty m:val="p"/>
            </m:rPr>
            <m:t>=</m:t>
          </m:r>
          <m:r>
            <m:t>1</m:t>
          </m:r>
          <m:r>
            <m:rPr>
              <m:sty m:val="p"/>
            </m:rPr>
            <m:t>,</m:t>
          </m:r>
        </m:oMath>
      </m:oMathPara>
    </w:p>
    <w:p>
      <w:pPr>
        <w:pStyle w:val="FirstParagraph"/>
      </w:pPr>
      <m:oMathPara>
        <m:oMathParaPr>
          <m:jc m:val="center"/>
        </m:oMathParaPr>
        <m:oMath>
          <m:nary>
            <m:naryPr>
              <m:chr m:val="∑"/>
              <m:limLoc m:val="undOvr"/>
              <m:subHide m:val="off"/>
              <m:supHide m:val="off"/>
            </m:naryPr>
            <m:sub>
              <m:r>
                <m:t>r</m:t>
              </m:r>
              <m:r>
                <m:rPr>
                  <m:sty m:val="p"/>
                </m:rPr>
                <m:t>=</m:t>
              </m:r>
              <m:r>
                <m:t>1</m:t>
              </m:r>
            </m:sub>
            <m:sup>
              <m:r>
                <m:t>s</m:t>
              </m:r>
            </m:sup>
            <m:e>
              <m:sSub>
                <m:e>
                  <m:r>
                    <m:t>u</m:t>
                  </m:r>
                </m:e>
                <m:sub>
                  <m:r>
                    <m:t>r</m:t>
                  </m:r>
                  <m:r>
                    <m:t>p</m:t>
                  </m:r>
                </m:sub>
              </m:sSub>
            </m:e>
          </m:nary>
          <m:sSub>
            <m:e>
              <m:r>
                <m:t>y</m:t>
              </m:r>
            </m:e>
            <m:sub>
              <m:r>
                <m:t>r</m:t>
              </m:r>
              <m:r>
                <m:t>j</m:t>
              </m:r>
            </m:sub>
          </m:sSub>
          <m:r>
            <m:rPr>
              <m:sty m:val="p"/>
            </m:rPr>
            <m:t>−</m:t>
          </m:r>
          <m:nary>
            <m:naryPr>
              <m:chr m:val="∑"/>
              <m:limLoc m:val="undOvr"/>
              <m:subHide m:val="off"/>
              <m:supHide m:val="off"/>
            </m:naryPr>
            <m:sub>
              <m:r>
                <m:t>i</m:t>
              </m:r>
              <m:r>
                <m:rPr>
                  <m:sty m:val="p"/>
                </m:rPr>
                <m:t>=</m:t>
              </m:r>
              <m:r>
                <m:t>1</m:t>
              </m:r>
            </m:sub>
            <m:sup>
              <m:r>
                <m:t>m</m:t>
              </m:r>
            </m:sup>
            <m:e>
              <m:sSub>
                <m:e>
                  <m:r>
                    <m:t>v</m:t>
                  </m:r>
                </m:e>
                <m:sub>
                  <m:r>
                    <m:t>i</m:t>
                  </m:r>
                  <m:r>
                    <m:t>p</m:t>
                  </m:r>
                </m:sub>
              </m:sSub>
            </m:e>
          </m:nary>
          <m:sSub>
            <m:e>
              <m:r>
                <m:t>x</m:t>
              </m:r>
            </m:e>
            <m:sub>
              <m:r>
                <m:t>i</m:t>
              </m:r>
              <m:r>
                <m:t>j</m:t>
              </m:r>
            </m:sub>
          </m:sSub>
          <m:r>
            <m:rPr>
              <m:sty m:val="p"/>
            </m:rPr>
            <m:t>+</m:t>
          </m:r>
          <m:sSub>
            <m:e>
              <m:r>
                <m:t>d</m:t>
              </m:r>
            </m:e>
            <m:sub>
              <m:r>
                <m:t>p</m:t>
              </m:r>
              <m:r>
                <m:t>j</m:t>
              </m:r>
            </m:sub>
          </m:sSub>
          <m:r>
            <m:rPr>
              <m:sty m:val="p"/>
            </m:rPr>
            <m:t>−</m:t>
          </m:r>
          <m:sSub>
            <m:e>
              <m:r>
                <m:t>w</m:t>
              </m:r>
            </m:e>
            <m:sub>
              <m:r>
                <m:t>p</m:t>
              </m:r>
            </m:sub>
          </m:sSub>
          <m:r>
            <m:rPr>
              <m:sty m:val="p"/>
            </m:rPr>
            <m:t>=</m:t>
          </m:r>
          <m:r>
            <m:t>0</m:t>
          </m:r>
          <m:r>
            <m:rPr>
              <m:sty m:val="p"/>
            </m:rPr>
            <m:t>,</m:t>
          </m:r>
          <m:r>
            <m:t> </m:t>
          </m:r>
          <m:r>
            <m:t>j</m:t>
          </m:r>
          <m:r>
            <m:rPr>
              <m:sty m:val="p"/>
            </m:rPr>
            <m:t>=</m:t>
          </m:r>
          <m:r>
            <m:t>1</m:t>
          </m:r>
          <m:r>
            <m:rPr>
              <m:sty m:val="p"/>
            </m:rPr>
            <m:t>,</m:t>
          </m:r>
          <m:r>
            <m:rPr>
              <m:sty m:val="p"/>
            </m:rPr>
            <m:t>…</m:t>
          </m:r>
          <m:r>
            <m:rPr>
              <m:sty m:val="p"/>
            </m:rPr>
            <m:t>,</m:t>
          </m:r>
          <m:r>
            <m:t>n</m:t>
          </m:r>
          <m:r>
            <m:rPr>
              <m:sty m:val="p"/>
            </m:rPr>
            <m:t>,</m:t>
          </m:r>
        </m:oMath>
      </m:oMathPara>
    </w:p>
    <w:p>
      <w:pPr>
        <w:pStyle w:val="FirstParagraph"/>
      </w:pPr>
      <m:oMathPara>
        <m:oMathParaPr>
          <m:jc m:val="center"/>
        </m:oMathParaPr>
        <m:oMath>
          <m:sSub>
            <m:e>
              <m:r>
                <m:t>u</m:t>
              </m:r>
            </m:e>
            <m:sub>
              <m:r>
                <m:t>r</m:t>
              </m:r>
              <m:r>
                <m:t>p</m:t>
              </m:r>
            </m:sub>
          </m:sSub>
          <m:r>
            <m:rPr>
              <m:sty m:val="p"/>
            </m:rPr>
            <m:t>≥</m:t>
          </m:r>
          <m:r>
            <m:t>ε</m:t>
          </m:r>
          <m:r>
            <m:rPr>
              <m:sty m:val="p"/>
            </m:rPr>
            <m:t>,</m:t>
          </m:r>
          <m:r>
            <m:t> </m:t>
          </m:r>
          <m:r>
            <m:t>r</m:t>
          </m:r>
          <m:r>
            <m:rPr>
              <m:sty m:val="p"/>
            </m:rPr>
            <m:t>=</m:t>
          </m:r>
          <m:r>
            <m:t>1</m:t>
          </m:r>
          <m:r>
            <m:rPr>
              <m:sty m:val="p"/>
            </m:rPr>
            <m:t>,</m:t>
          </m:r>
          <m:r>
            <m:rPr>
              <m:sty m:val="p"/>
            </m:rPr>
            <m:t>…</m:t>
          </m:r>
          <m:r>
            <m:rPr>
              <m:sty m:val="p"/>
            </m:rPr>
            <m:t>,</m:t>
          </m:r>
          <m:r>
            <m:t>s</m:t>
          </m:r>
          <m:r>
            <m:rPr>
              <m:sty m:val="p"/>
            </m:rPr>
            <m:t>,</m:t>
          </m:r>
        </m:oMath>
      </m:oMathPara>
    </w:p>
    <w:p>
      <w:pPr>
        <w:pStyle w:val="FirstParagraph"/>
      </w:pPr>
      <m:oMathPara>
        <m:oMathParaPr>
          <m:jc m:val="center"/>
        </m:oMathParaPr>
        <m:oMath>
          <m:sSub>
            <m:e>
              <m:r>
                <m:t>v</m:t>
              </m:r>
            </m:e>
            <m:sub>
              <m:r>
                <m:t>i</m:t>
              </m:r>
              <m:r>
                <m:t>p</m:t>
              </m:r>
            </m:sub>
          </m:sSub>
          <m:r>
            <m:rPr>
              <m:sty m:val="p"/>
            </m:rPr>
            <m:t>≥</m:t>
          </m:r>
          <m:r>
            <m:t>ε</m:t>
          </m:r>
          <m:r>
            <m:rPr>
              <m:sty m:val="p"/>
            </m:rPr>
            <m:t>,</m:t>
          </m:r>
          <m:r>
            <m:t> </m:t>
          </m:r>
          <m:r>
            <m:t>i</m:t>
          </m:r>
          <m:r>
            <m:rPr>
              <m:sty m:val="p"/>
            </m:rPr>
            <m:t>=</m:t>
          </m:r>
          <m:r>
            <m:t>1</m:t>
          </m:r>
          <m:r>
            <m:rPr>
              <m:sty m:val="p"/>
            </m:rPr>
            <m:t>,</m:t>
          </m:r>
          <m:r>
            <m:rPr>
              <m:sty m:val="p"/>
            </m:rPr>
            <m:t>…</m:t>
          </m:r>
          <m:r>
            <m:rPr>
              <m:sty m:val="p"/>
            </m:rPr>
            <m:t>,</m:t>
          </m:r>
          <m:r>
            <m:t>m</m:t>
          </m:r>
          <m:r>
            <m:rPr>
              <m:sty m:val="p"/>
            </m:rPr>
            <m:t>,</m:t>
          </m:r>
        </m:oMath>
      </m:oMathPara>
    </w:p>
    <w:p>
      <w:pPr>
        <w:pStyle w:val="FirstParagraph"/>
      </w:pPr>
      <m:oMathPara>
        <m:oMathParaPr>
          <m:jc m:val="center"/>
        </m:oMathParaPr>
        <m:oMath>
          <m:sSub>
            <m:e>
              <m:r>
                <m:t>d</m:t>
              </m:r>
            </m:e>
            <m:sub>
              <m:r>
                <m:t>p</m:t>
              </m:r>
              <m:r>
                <m:t>j</m:t>
              </m:r>
            </m:sub>
          </m:sSub>
          <m:r>
            <m:rPr>
              <m:sty m:val="p"/>
            </m:rPr>
            <m:t>≥</m:t>
          </m:r>
          <m:r>
            <m:t>0</m:t>
          </m:r>
          <m:r>
            <m:rPr>
              <m:sty m:val="p"/>
            </m:rPr>
            <m:t>,</m:t>
          </m:r>
          <m:r>
            <m:t> </m:t>
          </m:r>
          <m:r>
            <m:t>j</m:t>
          </m:r>
          <m:r>
            <m:rPr>
              <m:sty m:val="p"/>
            </m:rPr>
            <m:t>=</m:t>
          </m:r>
          <m:r>
            <m:t>1</m:t>
          </m:r>
          <m:r>
            <m:rPr>
              <m:sty m:val="p"/>
            </m:rPr>
            <m:t>,</m:t>
          </m:r>
          <m:r>
            <m:rPr>
              <m:sty m:val="p"/>
            </m:rPr>
            <m:t>…</m:t>
          </m:r>
          <m:r>
            <m:rPr>
              <m:sty m:val="p"/>
            </m:rPr>
            <m:t>,</m:t>
          </m:r>
          <m:r>
            <m:t>n</m:t>
          </m:r>
          <m:r>
            <m:rPr>
              <m:sty m:val="p"/>
            </m:rPr>
            <m:t>,</m:t>
          </m:r>
        </m:oMath>
      </m:oMathPara>
    </w:p>
    <w:p>
      <w:pPr>
        <w:pStyle w:val="FirstParagraph"/>
      </w:pPr>
      <m:oMathPara>
        <m:oMathParaPr>
          <m:jc m:val="center"/>
        </m:oMathParaPr>
        <m:oMath>
          <m:sSub>
            <m:e>
              <m:r>
                <m:t>w</m:t>
              </m:r>
            </m:e>
            <m:sub>
              <m:r>
                <m:t>p</m:t>
              </m:r>
            </m:sub>
          </m:sSub>
          <m:r>
            <m:rPr>
              <m:nor/>
              <m:sty m:val="p"/>
            </m:rPr>
            <m:t> is free in sign.</m:t>
          </m:r>
        </m:oMath>
      </m:oMathPara>
    </w:p>
    <w:p>
      <w:pPr>
        <w:pStyle w:val="FirstParagraph"/>
      </w:pPr>
      <w:r>
        <w:t xml:space="preserve">For CRS, the model sets</w:t>
      </w:r>
    </w:p>
    <w:p>
      <w:pPr>
        <w:pStyle w:val="BodyText"/>
      </w:pPr>
      <m:oMathPara>
        <m:oMathParaPr>
          <m:jc m:val="center"/>
        </m:oMathParaPr>
        <m:oMath>
          <m:sSub>
            <m:e>
              <m:r>
                <m:t>w</m:t>
              </m:r>
            </m:e>
            <m:sub>
              <m:r>
                <m:t>p</m:t>
              </m:r>
            </m:sub>
          </m:sSub>
          <m:r>
            <m:rPr>
              <m:sty m:val="p"/>
            </m:rPr>
            <m:t>=</m:t>
          </m:r>
          <m:r>
            <m:t>0</m:t>
          </m:r>
          <m:r>
            <m:rPr>
              <m:sty m:val="p"/>
            </m:rPr>
            <m:t>.</m:t>
          </m:r>
        </m:oMath>
      </m:oMathPara>
    </w:p>
    <w:p>
      <w:pPr>
        <w:pStyle w:val="FirstParagraph"/>
      </w:pPr>
      <w:r>
        <w:t xml:space="preserve">For VRS,</w:t>
      </w:r>
      <w:r>
        <w:t xml:space="preserve"> </w:t>
      </w:r>
      <m:oMath>
        <m:sSub>
          <m:e>
            <m:r>
              <m:t>w</m:t>
            </m:r>
          </m:e>
          <m:sub>
            <m:r>
              <m:t>p</m:t>
            </m:r>
          </m:sub>
        </m:sSub>
      </m:oMath>
      <w:r>
        <w:t xml:space="preserve"> </w:t>
      </w:r>
      <w:r>
        <w:t xml:space="preserve">remains free in sign.</w:t>
      </w:r>
    </w:p>
    <w:p>
      <w:pPr>
        <w:pStyle w:val="BodyText"/>
      </w:pPr>
      <w:r>
        <w:t xml:space="preserve">The result is</w:t>
      </w:r>
    </w:p>
    <w:p>
      <w:pPr>
        <w:pStyle w:val="BodyText"/>
      </w:pPr>
      <m:oMathPara>
        <m:oMathParaPr>
          <m:jc m:val="center"/>
        </m:oMathParaPr>
        <m:oMath>
          <m:sSubSup>
            <m:e>
              <m:r>
                <m:t>d</m:t>
              </m:r>
            </m:e>
            <m:sub>
              <m:r>
                <m:t>p</m:t>
              </m:r>
              <m:r>
                <m:t>p</m:t>
              </m:r>
            </m:sub>
            <m:sup>
              <m:r>
                <m:rPr>
                  <m:sty m:val="p"/>
                </m:rPr>
                <m:t>*</m:t>
              </m:r>
            </m:sup>
          </m:sSubSup>
          <m:r>
            <m:rPr>
              <m:sty m:val="p"/>
            </m:rPr>
            <m:t>,</m:t>
          </m:r>
        </m:oMath>
      </m:oMathPara>
    </w:p>
    <w:p>
      <w:pPr>
        <w:pStyle w:val="FirstParagraph"/>
      </w:pPr>
      <w:r>
        <w:t xml:space="preserve">and the technical efficiency is</w:t>
      </w:r>
    </w:p>
    <w:p>
      <w:pPr>
        <w:pStyle w:val="BodyText"/>
      </w:pPr>
      <m:oMathPara>
        <m:oMathParaPr>
          <m:jc m:val="center"/>
        </m:oMathParaPr>
        <m:oMath>
          <m:r>
            <m:t>T</m:t>
          </m:r>
          <m:sSub>
            <m:e>
              <m:r>
                <m:t>E</m:t>
              </m:r>
            </m:e>
            <m:sub>
              <m:r>
                <m:t>p</m:t>
              </m:r>
            </m:sub>
          </m:sSub>
          <m:r>
            <m:rPr>
              <m:sty m:val="p"/>
            </m:rPr>
            <m:t>=</m:t>
          </m:r>
          <m:r>
            <m:t>1</m:t>
          </m:r>
          <m:r>
            <m:rPr>
              <m:sty m:val="p"/>
            </m:rPr>
            <m:t>−</m:t>
          </m:r>
          <m:sSubSup>
            <m:e>
              <m:r>
                <m:t>d</m:t>
              </m:r>
            </m:e>
            <m:sub>
              <m:r>
                <m:t>p</m:t>
              </m:r>
              <m:r>
                <m:t>p</m:t>
              </m:r>
            </m:sub>
            <m:sup>
              <m:r>
                <m:rPr>
                  <m:sty m:val="p"/>
                </m:rPr>
                <m:t>*</m:t>
              </m:r>
            </m:sup>
          </m:sSubSup>
          <m:r>
            <m:rPr>
              <m:sty m:val="p"/>
            </m:rPr>
            <m:t>.</m:t>
          </m:r>
        </m:oMath>
      </m:oMathPara>
    </w:p>
    <w:bookmarkEnd w:id="24"/>
    <w:bookmarkStart w:id="25" w:name="Xc78c6878a500128c716ef7f19b455607214c6d2"/>
    <w:p>
      <w:pPr>
        <w:pStyle w:val="Heading2"/>
      </w:pPr>
      <w:r>
        <w:t xml:space="preserve">3.3 Step 2A: benevolent cross-inefficiency model</w:t>
      </w:r>
    </w:p>
    <w:p>
      <w:pPr>
        <w:pStyle w:val="FirstParagraph"/>
      </w:pPr>
      <w:r>
        <w:t xml:space="preserve">The benevolent model keeps DMU</w:t>
      </w:r>
      <w:r>
        <w:t xml:space="preserve"> </w:t>
      </w:r>
      <m:oMath>
        <m:r>
          <m:t>p</m:t>
        </m:r>
      </m:oMath>
      <w:r>
        <w:t xml:space="preserve">’s own inefficiency fixed at</w:t>
      </w:r>
      <w:r>
        <w:t xml:space="preserve"> </w:t>
      </w:r>
      <m:oMath>
        <m:sSubSup>
          <m:e>
            <m:r>
              <m:t>d</m:t>
            </m:r>
          </m:e>
          <m:sub>
            <m:r>
              <m:t>p</m:t>
            </m:r>
            <m:r>
              <m:t>p</m:t>
            </m:r>
          </m:sub>
          <m:sup>
            <m:r>
              <m:rPr>
                <m:sty m:val="p"/>
              </m:rPr>
              <m:t>*</m:t>
            </m:r>
          </m:sup>
        </m:sSubSup>
      </m:oMath>
      <w:r>
        <w:t xml:space="preserve"> </w:t>
      </w:r>
      <w:r>
        <w:t xml:space="preserve">and then minimizes total cross-inefficiency:</w:t>
      </w:r>
    </w:p>
    <w:p>
      <w:pPr>
        <w:pStyle w:val="BodyText"/>
      </w:pPr>
      <m:oMathPara>
        <m:oMathParaPr>
          <m:jc m:val="center"/>
        </m:oMathParaPr>
        <m:oMath>
          <m:r>
            <m:rPr>
              <m:sty m:val="p"/>
            </m:rPr>
            <m:t>min</m:t>
          </m:r>
          <m:nary>
            <m:naryPr>
              <m:chr m:val="∑"/>
              <m:limLoc m:val="undOvr"/>
              <m:subHide m:val="off"/>
              <m:supHide m:val="off"/>
            </m:naryPr>
            <m:sub>
              <m:r>
                <m:t>j</m:t>
              </m:r>
              <m:r>
                <m:rPr>
                  <m:sty m:val="p"/>
                </m:rPr>
                <m:t>=</m:t>
              </m:r>
              <m:r>
                <m:t>1</m:t>
              </m:r>
            </m:sub>
            <m:sup>
              <m:r>
                <m:t>n</m:t>
              </m:r>
            </m:sup>
            <m:e>
              <m:sSub>
                <m:e>
                  <m:r>
                    <m:t>d</m:t>
                  </m:r>
                </m:e>
                <m:sub>
                  <m:r>
                    <m:t>p</m:t>
                  </m:r>
                  <m:r>
                    <m:t>j</m:t>
                  </m:r>
                </m:sub>
              </m:sSub>
            </m:e>
          </m:nary>
          <m:r>
            <m:rPr>
              <m:sty m:val="p"/>
            </m:rPr>
            <m:t>.</m:t>
          </m:r>
        </m:oMath>
      </m:oMathPara>
    </w:p>
    <w:p>
      <w:pPr>
        <w:pStyle w:val="FirstParagraph"/>
      </w:pPr>
      <w:r>
        <w:t xml:space="preserve">Subject to</w:t>
      </w:r>
    </w:p>
    <w:p>
      <w:pPr>
        <w:pStyle w:val="BodyText"/>
      </w:pPr>
      <m:oMathPara>
        <m:oMathParaPr>
          <m:jc m:val="center"/>
        </m:oMathParaPr>
        <m:oMath>
          <m:nary>
            <m:naryPr>
              <m:chr m:val="∑"/>
              <m:limLoc m:val="undOvr"/>
              <m:subHide m:val="off"/>
              <m:supHide m:val="off"/>
            </m:naryPr>
            <m:sub>
              <m:r>
                <m:t>i</m:t>
              </m:r>
              <m:r>
                <m:rPr>
                  <m:sty m:val="p"/>
                </m:rPr>
                <m:t>=</m:t>
              </m:r>
              <m:r>
                <m:t>1</m:t>
              </m:r>
            </m:sub>
            <m:sup>
              <m:r>
                <m:t>m</m:t>
              </m:r>
            </m:sup>
            <m:e>
              <m:sSub>
                <m:e>
                  <m:r>
                    <m:t>v</m:t>
                  </m:r>
                </m:e>
                <m:sub>
                  <m:r>
                    <m:t>i</m:t>
                  </m:r>
                  <m:r>
                    <m:t>p</m:t>
                  </m:r>
                </m:sub>
              </m:sSub>
            </m:e>
          </m:nary>
          <m:sSub>
            <m:e>
              <m:r>
                <m:t>x</m:t>
              </m:r>
            </m:e>
            <m:sub>
              <m:r>
                <m:t>i</m:t>
              </m:r>
              <m:r>
                <m:t>p</m:t>
              </m:r>
            </m:sub>
          </m:sSub>
          <m:r>
            <m:rPr>
              <m:sty m:val="p"/>
            </m:rPr>
            <m:t>=</m:t>
          </m:r>
          <m:r>
            <m:t>1</m:t>
          </m:r>
          <m:r>
            <m:rPr>
              <m:sty m:val="p"/>
            </m:rPr>
            <m:t>,</m:t>
          </m:r>
        </m:oMath>
      </m:oMathPara>
    </w:p>
    <w:p>
      <w:pPr>
        <w:pStyle w:val="FirstParagraph"/>
      </w:pPr>
      <m:oMathPara>
        <m:oMathParaPr>
          <m:jc m:val="center"/>
        </m:oMathParaPr>
        <m:oMath>
          <m:nary>
            <m:naryPr>
              <m:chr m:val="∑"/>
              <m:limLoc m:val="undOvr"/>
              <m:subHide m:val="off"/>
              <m:supHide m:val="off"/>
            </m:naryPr>
            <m:sub>
              <m:r>
                <m:t>r</m:t>
              </m:r>
              <m:r>
                <m:rPr>
                  <m:sty m:val="p"/>
                </m:rPr>
                <m:t>=</m:t>
              </m:r>
              <m:r>
                <m:t>1</m:t>
              </m:r>
            </m:sub>
            <m:sup>
              <m:r>
                <m:t>s</m:t>
              </m:r>
            </m:sup>
            <m:e>
              <m:sSub>
                <m:e>
                  <m:r>
                    <m:t>u</m:t>
                  </m:r>
                </m:e>
                <m:sub>
                  <m:r>
                    <m:t>r</m:t>
                  </m:r>
                  <m:r>
                    <m:t>p</m:t>
                  </m:r>
                </m:sub>
              </m:sSub>
            </m:e>
          </m:nary>
          <m:sSub>
            <m:e>
              <m:r>
                <m:t>y</m:t>
              </m:r>
            </m:e>
            <m:sub>
              <m:r>
                <m:t>r</m:t>
              </m:r>
              <m:r>
                <m:t>p</m:t>
              </m:r>
            </m:sub>
          </m:sSub>
          <m:r>
            <m:rPr>
              <m:sty m:val="p"/>
            </m:rPr>
            <m:t>−</m:t>
          </m:r>
          <m:nary>
            <m:naryPr>
              <m:chr m:val="∑"/>
              <m:limLoc m:val="undOvr"/>
              <m:subHide m:val="off"/>
              <m:supHide m:val="off"/>
            </m:naryPr>
            <m:sub>
              <m:r>
                <m:t>i</m:t>
              </m:r>
              <m:r>
                <m:rPr>
                  <m:sty m:val="p"/>
                </m:rPr>
                <m:t>=</m:t>
              </m:r>
              <m:r>
                <m:t>1</m:t>
              </m:r>
            </m:sub>
            <m:sup>
              <m:r>
                <m:t>m</m:t>
              </m:r>
            </m:sup>
            <m:e>
              <m:sSub>
                <m:e>
                  <m:r>
                    <m:t>v</m:t>
                  </m:r>
                </m:e>
                <m:sub>
                  <m:r>
                    <m:t>i</m:t>
                  </m:r>
                  <m:r>
                    <m:t>p</m:t>
                  </m:r>
                </m:sub>
              </m:sSub>
            </m:e>
          </m:nary>
          <m:sSub>
            <m:e>
              <m:r>
                <m:t>x</m:t>
              </m:r>
            </m:e>
            <m:sub>
              <m:r>
                <m:t>i</m:t>
              </m:r>
              <m:r>
                <m:t>p</m:t>
              </m:r>
            </m:sub>
          </m:sSub>
          <m:r>
            <m:rPr>
              <m:sty m:val="p"/>
            </m:rPr>
            <m:t>+</m:t>
          </m:r>
          <m:sSubSup>
            <m:e>
              <m:r>
                <m:t>d</m:t>
              </m:r>
            </m:e>
            <m:sub>
              <m:r>
                <m:t>p</m:t>
              </m:r>
              <m:r>
                <m:t>p</m:t>
              </m:r>
            </m:sub>
            <m:sup>
              <m:r>
                <m:rPr>
                  <m:sty m:val="p"/>
                </m:rPr>
                <m:t>*</m:t>
              </m:r>
            </m:sup>
          </m:sSubSup>
          <m:r>
            <m:rPr>
              <m:sty m:val="p"/>
            </m:rPr>
            <m:t>−</m:t>
          </m:r>
          <m:sSub>
            <m:e>
              <m:r>
                <m:t>w</m:t>
              </m:r>
            </m:e>
            <m:sub>
              <m:r>
                <m:t>p</m:t>
              </m:r>
            </m:sub>
          </m:sSub>
          <m:r>
            <m:rPr>
              <m:sty m:val="p"/>
            </m:rPr>
            <m:t>=</m:t>
          </m:r>
          <m:r>
            <m:t>0</m:t>
          </m:r>
          <m:r>
            <m:rPr>
              <m:sty m:val="p"/>
            </m:rPr>
            <m:t>,</m:t>
          </m:r>
        </m:oMath>
      </m:oMathPara>
    </w:p>
    <w:p>
      <w:pPr>
        <w:pStyle w:val="FirstParagraph"/>
      </w:pPr>
      <m:oMathPara>
        <m:oMathParaPr>
          <m:jc m:val="center"/>
        </m:oMathParaPr>
        <m:oMath>
          <m:nary>
            <m:naryPr>
              <m:chr m:val="∑"/>
              <m:limLoc m:val="undOvr"/>
              <m:subHide m:val="off"/>
              <m:supHide m:val="off"/>
            </m:naryPr>
            <m:sub>
              <m:r>
                <m:t>r</m:t>
              </m:r>
              <m:r>
                <m:rPr>
                  <m:sty m:val="p"/>
                </m:rPr>
                <m:t>=</m:t>
              </m:r>
              <m:r>
                <m:t>1</m:t>
              </m:r>
            </m:sub>
            <m:sup>
              <m:r>
                <m:t>s</m:t>
              </m:r>
            </m:sup>
            <m:e>
              <m:sSub>
                <m:e>
                  <m:r>
                    <m:t>u</m:t>
                  </m:r>
                </m:e>
                <m:sub>
                  <m:r>
                    <m:t>r</m:t>
                  </m:r>
                  <m:r>
                    <m:t>p</m:t>
                  </m:r>
                </m:sub>
              </m:sSub>
            </m:e>
          </m:nary>
          <m:sSub>
            <m:e>
              <m:r>
                <m:t>y</m:t>
              </m:r>
            </m:e>
            <m:sub>
              <m:r>
                <m:t>r</m:t>
              </m:r>
              <m:r>
                <m:t>j</m:t>
              </m:r>
            </m:sub>
          </m:sSub>
          <m:r>
            <m:rPr>
              <m:sty m:val="p"/>
            </m:rPr>
            <m:t>−</m:t>
          </m:r>
          <m:nary>
            <m:naryPr>
              <m:chr m:val="∑"/>
              <m:limLoc m:val="undOvr"/>
              <m:subHide m:val="off"/>
              <m:supHide m:val="off"/>
            </m:naryPr>
            <m:sub>
              <m:r>
                <m:t>i</m:t>
              </m:r>
              <m:r>
                <m:rPr>
                  <m:sty m:val="p"/>
                </m:rPr>
                <m:t>=</m:t>
              </m:r>
              <m:r>
                <m:t>1</m:t>
              </m:r>
            </m:sub>
            <m:sup>
              <m:r>
                <m:t>m</m:t>
              </m:r>
            </m:sup>
            <m:e>
              <m:sSub>
                <m:e>
                  <m:r>
                    <m:t>v</m:t>
                  </m:r>
                </m:e>
                <m:sub>
                  <m:r>
                    <m:t>i</m:t>
                  </m:r>
                  <m:r>
                    <m:t>p</m:t>
                  </m:r>
                </m:sub>
              </m:sSub>
            </m:e>
          </m:nary>
          <m:sSub>
            <m:e>
              <m:r>
                <m:t>x</m:t>
              </m:r>
            </m:e>
            <m:sub>
              <m:r>
                <m:t>i</m:t>
              </m:r>
              <m:r>
                <m:t>j</m:t>
              </m:r>
            </m:sub>
          </m:sSub>
          <m:r>
            <m:rPr>
              <m:sty m:val="p"/>
            </m:rPr>
            <m:t>+</m:t>
          </m:r>
          <m:sSub>
            <m:e>
              <m:r>
                <m:t>d</m:t>
              </m:r>
            </m:e>
            <m:sub>
              <m:r>
                <m:t>p</m:t>
              </m:r>
              <m:r>
                <m:t>j</m:t>
              </m:r>
            </m:sub>
          </m:sSub>
          <m:r>
            <m:rPr>
              <m:sty m:val="p"/>
            </m:rPr>
            <m:t>−</m:t>
          </m:r>
          <m:sSub>
            <m:e>
              <m:r>
                <m:t>w</m:t>
              </m:r>
            </m:e>
            <m:sub>
              <m:r>
                <m:t>p</m:t>
              </m:r>
            </m:sub>
          </m:sSub>
          <m:r>
            <m:rPr>
              <m:sty m:val="p"/>
            </m:rPr>
            <m:t>=</m:t>
          </m:r>
          <m:r>
            <m:t>0</m:t>
          </m:r>
          <m:r>
            <m:rPr>
              <m:sty m:val="p"/>
            </m:rPr>
            <m:t>,</m:t>
          </m:r>
          <m:r>
            <m:t> </m:t>
          </m:r>
          <m:r>
            <m:t>j</m:t>
          </m:r>
          <m:r>
            <m:rPr>
              <m:sty m:val="p"/>
            </m:rPr>
            <m:t>=</m:t>
          </m:r>
          <m:r>
            <m:t>1</m:t>
          </m:r>
          <m:r>
            <m:rPr>
              <m:sty m:val="p"/>
            </m:rPr>
            <m:t>,</m:t>
          </m:r>
          <m:r>
            <m:rPr>
              <m:sty m:val="p"/>
            </m:rPr>
            <m:t>…</m:t>
          </m:r>
          <m:r>
            <m:rPr>
              <m:sty m:val="p"/>
            </m:rPr>
            <m:t>,</m:t>
          </m:r>
          <m:r>
            <m:t>n</m:t>
          </m:r>
          <m:r>
            <m:rPr>
              <m:sty m:val="p"/>
            </m:rPr>
            <m:t>,</m:t>
          </m:r>
          <m:r>
            <m:t> </m:t>
          </m:r>
          <m:r>
            <m:t>j</m:t>
          </m:r>
          <m:r>
            <m:rPr>
              <m:sty m:val="p"/>
            </m:rPr>
            <m:t>≠</m:t>
          </m:r>
          <m:r>
            <m:t>p</m:t>
          </m:r>
          <m:r>
            <m:rPr>
              <m:sty m:val="p"/>
            </m:rPr>
            <m:t>,</m:t>
          </m:r>
        </m:oMath>
      </m:oMathPara>
    </w:p>
    <w:p>
      <w:pPr>
        <w:pStyle w:val="FirstParagraph"/>
      </w:pPr>
      <m:oMathPara>
        <m:oMathParaPr>
          <m:jc m:val="center"/>
        </m:oMathParaPr>
        <m:oMath>
          <m:sSub>
            <m:e>
              <m:r>
                <m:t>u</m:t>
              </m:r>
            </m:e>
            <m:sub>
              <m:r>
                <m:t>r</m:t>
              </m:r>
              <m:r>
                <m:t>p</m:t>
              </m:r>
            </m:sub>
          </m:sSub>
          <m:r>
            <m:rPr>
              <m:sty m:val="p"/>
            </m:rPr>
            <m:t>≥</m:t>
          </m:r>
          <m:r>
            <m:t>ε</m:t>
          </m:r>
          <m:r>
            <m:rPr>
              <m:sty m:val="p"/>
            </m:rPr>
            <m:t>,</m:t>
          </m:r>
          <m:r>
            <m:t> </m:t>
          </m:r>
          <m:sSub>
            <m:e>
              <m:r>
                <m:t>v</m:t>
              </m:r>
            </m:e>
            <m:sub>
              <m:r>
                <m:t>i</m:t>
              </m:r>
              <m:r>
                <m:t>p</m:t>
              </m:r>
            </m:sub>
          </m:sSub>
          <m:r>
            <m:rPr>
              <m:sty m:val="p"/>
            </m:rPr>
            <m:t>≥</m:t>
          </m:r>
          <m:r>
            <m:t>ε</m:t>
          </m:r>
          <m:r>
            <m:rPr>
              <m:sty m:val="p"/>
            </m:rPr>
            <m:t>,</m:t>
          </m:r>
          <m:r>
            <m:t> </m:t>
          </m:r>
          <m:sSub>
            <m:e>
              <m:r>
                <m:t>d</m:t>
              </m:r>
            </m:e>
            <m:sub>
              <m:r>
                <m:t>p</m:t>
              </m:r>
              <m:r>
                <m:t>j</m:t>
              </m:r>
            </m:sub>
          </m:sSub>
          <m:r>
            <m:rPr>
              <m:sty m:val="p"/>
            </m:rPr>
            <m:t>≥</m:t>
          </m:r>
          <m:r>
            <m:t>0</m:t>
          </m:r>
          <m:r>
            <m:rPr>
              <m:sty m:val="p"/>
            </m:rPr>
            <m:t>.</m:t>
          </m:r>
        </m:oMath>
      </m:oMathPara>
    </w:p>
    <w:p>
      <w:pPr>
        <w:pStyle w:val="FirstParagraph"/>
      </w:pPr>
      <w:r>
        <w:t xml:space="preserve">In this model, DMU</w:t>
      </w:r>
      <w:r>
        <w:t xml:space="preserve"> </w:t>
      </w:r>
      <m:oMath>
        <m:r>
          <m:t>p</m:t>
        </m:r>
      </m:oMath>
      <w:r>
        <w:t xml:space="preserve"> </w:t>
      </w:r>
      <w:r>
        <w:t xml:space="preserve">keeps its own best score unchanged while choosing weights that make the other DMUs look as good as possible. Since the model uses inefficiency variables, making other DMUs look good means minimizing their inefficiencies.</w:t>
      </w:r>
    </w:p>
    <w:bookmarkEnd w:id="25"/>
    <w:bookmarkStart w:id="26" w:name="X72bb9b5d4e6e2cbff410e38b2ce814167a64058"/>
    <w:p>
      <w:pPr>
        <w:pStyle w:val="Heading2"/>
      </w:pPr>
      <w:r>
        <w:t xml:space="preserve">3.4 Step 2B: aggressive cross-inefficiency model</w:t>
      </w:r>
    </w:p>
    <w:p>
      <w:pPr>
        <w:pStyle w:val="FirstParagraph"/>
      </w:pPr>
      <w:r>
        <w:t xml:space="preserve">The aggressive model uses the same constraints as the benevolent model, but changes the objective to</w:t>
      </w:r>
    </w:p>
    <w:p>
      <w:pPr>
        <w:pStyle w:val="BodyText"/>
      </w:pPr>
      <m:oMathPara>
        <m:oMathParaPr>
          <m:jc m:val="center"/>
        </m:oMathParaPr>
        <m:oMath>
          <m:r>
            <m:rPr>
              <m:sty m:val="p"/>
            </m:rPr>
            <m:t>max</m:t>
          </m:r>
          <m:nary>
            <m:naryPr>
              <m:chr m:val="∑"/>
              <m:limLoc m:val="undOvr"/>
              <m:subHide m:val="off"/>
              <m:supHide m:val="off"/>
            </m:naryPr>
            <m:sub>
              <m:r>
                <m:t>j</m:t>
              </m:r>
              <m:r>
                <m:rPr>
                  <m:sty m:val="p"/>
                </m:rPr>
                <m:t>=</m:t>
              </m:r>
              <m:r>
                <m:t>1</m:t>
              </m:r>
            </m:sub>
            <m:sup>
              <m:r>
                <m:t>n</m:t>
              </m:r>
            </m:sup>
            <m:e>
              <m:sSub>
                <m:e>
                  <m:r>
                    <m:t>d</m:t>
                  </m:r>
                </m:e>
                <m:sub>
                  <m:r>
                    <m:t>p</m:t>
                  </m:r>
                  <m:r>
                    <m:t>j</m:t>
                  </m:r>
                </m:sub>
              </m:sSub>
            </m:e>
          </m:nary>
          <m:r>
            <m:rPr>
              <m:sty m:val="p"/>
            </m:rPr>
            <m:t>.</m:t>
          </m:r>
        </m:oMath>
      </m:oMathPara>
    </w:p>
    <w:p>
      <w:pPr>
        <w:pStyle w:val="FirstParagraph"/>
      </w:pPr>
      <w:r>
        <w:t xml:space="preserve">In this model, DMU</w:t>
      </w:r>
      <w:r>
        <w:t xml:space="preserve"> </w:t>
      </w:r>
      <m:oMath>
        <m:r>
          <m:t>p</m:t>
        </m:r>
      </m:oMath>
      <w:r>
        <w:t xml:space="preserve"> </w:t>
      </w:r>
      <w:r>
        <w:t xml:space="preserve">keeps its own best score unchanged while choosing weights that make the other DMUs look as bad as possible. Since the model uses inefficiency variables, making other DMUs look bad means maximizing their inefficiencies.</w:t>
      </w:r>
    </w:p>
    <w:bookmarkEnd w:id="26"/>
    <w:bookmarkStart w:id="27" w:name="main-difference-between-the-two-models"/>
    <w:p>
      <w:pPr>
        <w:pStyle w:val="Heading2"/>
      </w:pPr>
      <w:r>
        <w:t xml:space="preserve">3.5 Main difference between the two models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Aspect</w:t>
            </w:r>
          </w:p>
        </w:tc>
        <w:tc>
          <w:tcPr/>
          <w:p>
            <w:pPr>
              <w:pStyle w:val="Compact"/>
              <w:jc w:val="left"/>
            </w:pPr>
            <w:r>
              <w:t xml:space="preserve">Benevolent model</w:t>
            </w:r>
          </w:p>
        </w:tc>
        <w:tc>
          <w:tcPr/>
          <w:p>
            <w:pPr>
              <w:pStyle w:val="Compact"/>
              <w:jc w:val="left"/>
            </w:pPr>
            <w:r>
              <w:t xml:space="preserve">Aggressive model</w:t>
            </w:r>
          </w:p>
        </w:tc>
      </w:tr>
      <w:tr>
        <w:tc>
          <w:tcPr/>
          <w:p>
            <w:pPr>
              <w:pStyle w:val="Compact"/>
              <w:jc w:val="left"/>
            </w:pPr>
            <w:r>
              <w:t xml:space="preserve">Objective in this paper</w:t>
            </w:r>
          </w:p>
        </w:tc>
        <w:tc>
          <w:tcPr/>
          <w:p>
            <w:pPr>
              <w:pStyle w:val="Compact"/>
              <w:jc w:val="left"/>
            </w:pPr>
            <m:oMath>
              <m:r>
                <m:rPr>
                  <m:sty m:val="p"/>
                </m:rPr>
                <m:t>min</m:t>
              </m:r>
              <m:nary>
                <m:naryPr>
                  <m:chr m:val="∑"/>
                  <m:limLoc m:val="undOvr"/>
                  <m:subHide m:val="off"/>
                  <m:supHide m:val="on"/>
                </m:naryPr>
                <m:sub>
                  <m:r>
                    <m:t>j</m:t>
                  </m:r>
                </m:sub>
                <m:sup>
                  <m:r>
                    <m:t>​</m:t>
                  </m:r>
                </m:sup>
                <m:e>
                  <m:sSub>
                    <m:e>
                      <m:r>
                        <m:t>d</m:t>
                      </m:r>
                    </m:e>
                    <m:sub>
                      <m:r>
                        <m:t>p</m:t>
                      </m:r>
                      <m:r>
                        <m:t>j</m:t>
                      </m:r>
                    </m:sub>
                  </m:sSub>
                </m:e>
              </m:nary>
            </m:oMath>
          </w:p>
        </w:tc>
        <w:tc>
          <w:tcPr/>
          <w:p>
            <w:pPr>
              <w:pStyle w:val="Compact"/>
              <w:jc w:val="left"/>
            </w:pPr>
            <m:oMath>
              <m:r>
                <m:rPr>
                  <m:sty m:val="p"/>
                </m:rPr>
                <m:t>max</m:t>
              </m:r>
              <m:nary>
                <m:naryPr>
                  <m:chr m:val="∑"/>
                  <m:limLoc m:val="undOvr"/>
                  <m:subHide m:val="off"/>
                  <m:supHide m:val="on"/>
                </m:naryPr>
                <m:sub>
                  <m:r>
                    <m:t>j</m:t>
                  </m:r>
                </m:sub>
                <m:sup>
                  <m:r>
                    <m:t>​</m:t>
                  </m:r>
                </m:sup>
                <m:e>
                  <m:sSub>
                    <m:e>
                      <m:r>
                        <m:t>d</m:t>
                      </m:r>
                    </m:e>
                    <m:sub>
                      <m:r>
                        <m:t>p</m:t>
                      </m:r>
                      <m:r>
                        <m:t>j</m:t>
                      </m:r>
                    </m:sub>
                  </m:sSub>
                </m:e>
              </m:nary>
            </m:oMath>
          </w:p>
        </w:tc>
      </w:tr>
      <w:tr>
        <w:tc>
          <w:tcPr/>
          <w:p>
            <w:pPr>
              <w:pStyle w:val="Compact"/>
              <w:jc w:val="left"/>
            </w:pPr>
            <w:r>
              <w:t xml:space="preserve">Meaning</w:t>
            </w:r>
          </w:p>
        </w:tc>
        <w:tc>
          <w:tcPr/>
          <w:p>
            <w:pPr>
              <w:pStyle w:val="Compact"/>
              <w:jc w:val="left"/>
            </w:pPr>
            <w:r>
              <w:t xml:space="preserve">Friendly to peer DMUs</w:t>
            </w:r>
          </w:p>
        </w:tc>
        <w:tc>
          <w:tcPr/>
          <w:p>
            <w:pPr>
              <w:pStyle w:val="Compact"/>
              <w:jc w:val="left"/>
            </w:pPr>
            <w:r>
              <w:t xml:space="preserve">Unfriendly to peer DMUs</w:t>
            </w:r>
          </w:p>
        </w:tc>
      </w:tr>
      <w:tr>
        <w:tc>
          <w:tcPr/>
          <w:p>
            <w:pPr>
              <w:pStyle w:val="Compact"/>
              <w:jc w:val="left"/>
            </w:pPr>
            <w:r>
              <w:t xml:space="preserve">Efficiency interpretation</w:t>
            </w:r>
          </w:p>
        </w:tc>
        <w:tc>
          <w:tcPr/>
          <w:p>
            <w:pPr>
              <w:pStyle w:val="Compact"/>
              <w:jc w:val="left"/>
            </w:pPr>
            <w:r>
              <w:t xml:space="preserve">Maximizes total peer efficiency</w:t>
            </w:r>
          </w:p>
        </w:tc>
        <w:tc>
          <w:tcPr/>
          <w:p>
            <w:pPr>
              <w:pStyle w:val="Compact"/>
              <w:jc w:val="left"/>
            </w:pPr>
            <w:r>
              <w:t xml:space="preserve">Minimizes total peer efficiency</w:t>
            </w:r>
          </w:p>
        </w:tc>
      </w:tr>
      <w:tr>
        <w:tc>
          <w:tcPr/>
          <w:p>
            <w:pPr>
              <w:pStyle w:val="Compact"/>
              <w:jc w:val="left"/>
            </w:pPr>
            <w:r>
              <w:t xml:space="preserve">Inefficiency interpretation</w:t>
            </w:r>
          </w:p>
        </w:tc>
        <w:tc>
          <w:tcPr/>
          <w:p>
            <w:pPr>
              <w:pStyle w:val="Compact"/>
              <w:jc w:val="left"/>
            </w:pPr>
            <w:r>
              <w:t xml:space="preserve">Minimizes total peer inefficiency</w:t>
            </w:r>
          </w:p>
        </w:tc>
        <w:tc>
          <w:tcPr/>
          <w:p>
            <w:pPr>
              <w:pStyle w:val="Compact"/>
              <w:jc w:val="left"/>
            </w:pPr>
            <w:r>
              <w:t xml:space="preserve">Maximizes total peer inefficiency</w:t>
            </w:r>
          </w:p>
        </w:tc>
      </w:tr>
      <w:tr>
        <w:tc>
          <w:tcPr/>
          <w:p>
            <w:pPr>
              <w:pStyle w:val="Compact"/>
              <w:jc w:val="left"/>
            </w:pPr>
            <w:r>
              <w:t xml:space="preserve">Decision attitude</w:t>
            </w:r>
          </w:p>
        </w:tc>
        <w:tc>
          <w:tcPr/>
          <w:p>
            <w:pPr>
              <w:pStyle w:val="Compact"/>
              <w:jc w:val="left"/>
            </w:pPr>
            <w:r>
              <w:t xml:space="preserve">Optimistic</w:t>
            </w:r>
          </w:p>
        </w:tc>
        <w:tc>
          <w:tcPr/>
          <w:p>
            <w:pPr>
              <w:pStyle w:val="Compact"/>
              <w:jc w:val="left"/>
            </w:pPr>
            <w:r>
              <w:t xml:space="preserve">Pessimistic or conservative</w:t>
            </w:r>
          </w:p>
        </w:tc>
      </w:tr>
      <w:tr>
        <w:tc>
          <w:tcPr/>
          <w:p>
            <w:pPr>
              <w:pStyle w:val="Compact"/>
              <w:jc w:val="left"/>
            </w:pPr>
            <w:r>
              <w:t xml:space="preserve">Use</w:t>
            </w:r>
          </w:p>
        </w:tc>
        <w:tc>
          <w:tcPr/>
          <w:p>
            <w:pPr>
              <w:pStyle w:val="Compact"/>
              <w:jc w:val="left"/>
            </w:pPr>
            <w:r>
              <w:t xml:space="preserve">Best-case peer-evaluation scenario</w:t>
            </w:r>
          </w:p>
        </w:tc>
        <w:tc>
          <w:tcPr/>
          <w:p>
            <w:pPr>
              <w:pStyle w:val="Compact"/>
              <w:jc w:val="left"/>
            </w:pPr>
            <w:r>
              <w:t xml:space="preserve">Worst-case peer-evaluation scenario</w:t>
            </w:r>
          </w:p>
        </w:tc>
      </w:tr>
    </w:tbl>
    <w:bookmarkEnd w:id="27"/>
    <w:bookmarkStart w:id="28" w:name="fci-formula"/>
    <w:p>
      <w:pPr>
        <w:pStyle w:val="Heading2"/>
      </w:pPr>
      <w:r>
        <w:t xml:space="preserve">3.6 FCI formula</w:t>
      </w:r>
    </w:p>
    <w:p>
      <w:pPr>
        <w:pStyle w:val="FirstParagraph"/>
      </w:pPr>
      <w:r>
        <w:t xml:space="preserve">After the cross-inefficiency matrix is constructed, the paper defines allocative efficiency as</w:t>
      </w:r>
    </w:p>
    <w:p>
      <w:pPr>
        <w:pStyle w:val="BodyText"/>
      </w:pPr>
      <m:oMathPara>
        <m:oMathParaPr>
          <m:jc m:val="center"/>
        </m:oMathParaPr>
        <m:oMath>
          <m:r>
            <m:t>A</m:t>
          </m:r>
          <m:sSub>
            <m:e>
              <m:r>
                <m:t>E</m:t>
              </m:r>
            </m:e>
            <m:sub>
              <m:r>
                <m:t>k</m:t>
              </m:r>
              <m:r>
                <m:t>j</m:t>
              </m:r>
            </m:sub>
          </m:sSub>
          <m:r>
            <m:rPr>
              <m:sty m:val="p"/>
            </m:rPr>
            <m:t>=</m:t>
          </m:r>
          <m:f>
            <m:fPr>
              <m:type m:val="bar"/>
            </m:fPr>
            <m:num>
              <m:r>
                <m:t>1</m:t>
              </m:r>
              <m:r>
                <m:rPr>
                  <m:sty m:val="p"/>
                </m:rPr>
                <m:t>−</m:t>
              </m:r>
              <m:sSub>
                <m:e>
                  <m:r>
                    <m:t>d</m:t>
                  </m:r>
                </m:e>
                <m:sub>
                  <m:r>
                    <m:t>k</m:t>
                  </m:r>
                  <m:r>
                    <m:t>j</m:t>
                  </m:r>
                </m:sub>
              </m:sSub>
            </m:num>
            <m:den>
              <m:r>
                <m:t>1</m:t>
              </m:r>
              <m:r>
                <m:rPr>
                  <m:sty m:val="p"/>
                </m:rPr>
                <m:t>−</m:t>
              </m:r>
              <m:sSub>
                <m:e>
                  <m:r>
                    <m:t>d</m:t>
                  </m:r>
                </m:e>
                <m:sub>
                  <m:r>
                    <m:t>j</m:t>
                  </m:r>
                  <m:r>
                    <m:t>j</m:t>
                  </m:r>
                </m:sub>
              </m:sSub>
            </m:den>
          </m:f>
          <m:r>
            <m:rPr>
              <m:sty m:val="p"/>
            </m:rPr>
            <m:t>.</m:t>
          </m:r>
        </m:oMath>
      </m:oMathPara>
    </w:p>
    <w:p>
      <w:pPr>
        <w:pStyle w:val="FirstParagraph"/>
      </w:pPr>
      <w:r>
        <w:t xml:space="preserve">Allocative inefficiency is</w:t>
      </w:r>
    </w:p>
    <w:p>
      <w:pPr>
        <w:pStyle w:val="BodyText"/>
      </w:pPr>
      <m:oMathPara>
        <m:oMathParaPr>
          <m:jc m:val="center"/>
        </m:oMathParaPr>
        <m:oMath>
          <m:r>
            <m:t>A</m:t>
          </m:r>
          <m:sSub>
            <m:e>
              <m:r>
                <m:t>I</m:t>
              </m:r>
            </m:e>
            <m:sub>
              <m:r>
                <m:t>k</m:t>
              </m:r>
              <m:r>
                <m:t>j</m:t>
              </m:r>
            </m:sub>
          </m:sSub>
          <m:r>
            <m:rPr>
              <m:sty m:val="p"/>
            </m:rPr>
            <m:t>=</m:t>
          </m:r>
          <m:r>
            <m:t>1</m:t>
          </m:r>
          <m:r>
            <m:rPr>
              <m:sty m:val="p"/>
            </m:rPr>
            <m:t>−</m:t>
          </m:r>
          <m:r>
            <m:t>A</m:t>
          </m:r>
          <m:sSub>
            <m:e>
              <m:r>
                <m:t>E</m:t>
              </m:r>
            </m:e>
            <m:sub>
              <m:r>
                <m:t>k</m:t>
              </m:r>
              <m:r>
                <m:t>j</m:t>
              </m:r>
            </m:sub>
          </m:sSub>
          <m:r>
            <m:rPr>
              <m:sty m:val="p"/>
            </m:rPr>
            <m:t>=</m:t>
          </m:r>
          <m:r>
            <m:t>1</m:t>
          </m:r>
          <m:r>
            <m:rPr>
              <m:sty m:val="p"/>
            </m:rPr>
            <m:t>−</m:t>
          </m:r>
          <m:f>
            <m:fPr>
              <m:type m:val="bar"/>
            </m:fPr>
            <m:num>
              <m:r>
                <m:t>1</m:t>
              </m:r>
              <m:r>
                <m:rPr>
                  <m:sty m:val="p"/>
                </m:rPr>
                <m:t>−</m:t>
              </m:r>
              <m:sSub>
                <m:e>
                  <m:r>
                    <m:t>d</m:t>
                  </m:r>
                </m:e>
                <m:sub>
                  <m:r>
                    <m:t>k</m:t>
                  </m:r>
                  <m:r>
                    <m:t>j</m:t>
                  </m:r>
                </m:sub>
              </m:sSub>
            </m:num>
            <m:den>
              <m:r>
                <m:t>1</m:t>
              </m:r>
              <m:r>
                <m:rPr>
                  <m:sty m:val="p"/>
                </m:rPr>
                <m:t>−</m:t>
              </m:r>
              <m:sSub>
                <m:e>
                  <m:r>
                    <m:t>d</m:t>
                  </m:r>
                </m:e>
                <m:sub>
                  <m:r>
                    <m:t>j</m:t>
                  </m:r>
                  <m:r>
                    <m:t>j</m:t>
                  </m:r>
                </m:sub>
              </m:sSub>
            </m:den>
          </m:f>
          <m:r>
            <m:rPr>
              <m:sty m:val="p"/>
            </m:rPr>
            <m:t>=</m:t>
          </m:r>
          <m:f>
            <m:fPr>
              <m:type m:val="bar"/>
            </m:fPr>
            <m:num>
              <m:sSub>
                <m:e>
                  <m:r>
                    <m:t>d</m:t>
                  </m:r>
                </m:e>
                <m:sub>
                  <m:r>
                    <m:t>k</m:t>
                  </m:r>
                  <m:r>
                    <m:t>j</m:t>
                  </m:r>
                </m:sub>
              </m:sSub>
              <m:r>
                <m:rPr>
                  <m:sty m:val="p"/>
                </m:rPr>
                <m:t>−</m:t>
              </m:r>
              <m:sSub>
                <m:e>
                  <m:r>
                    <m:t>d</m:t>
                  </m:r>
                </m:e>
                <m:sub>
                  <m:r>
                    <m:t>j</m:t>
                  </m:r>
                  <m:r>
                    <m:t>j</m:t>
                  </m:r>
                </m:sub>
              </m:sSub>
            </m:num>
            <m:den>
              <m:r>
                <m:t>1</m:t>
              </m:r>
              <m:r>
                <m:rPr>
                  <m:sty m:val="p"/>
                </m:rPr>
                <m:t>−</m:t>
              </m:r>
              <m:sSub>
                <m:e>
                  <m:r>
                    <m:t>d</m:t>
                  </m:r>
                </m:e>
                <m:sub>
                  <m:r>
                    <m:t>j</m:t>
                  </m:r>
                  <m:r>
                    <m:t>j</m:t>
                  </m:r>
                </m:sub>
              </m:sSub>
            </m:den>
          </m:f>
          <m:r>
            <m:rPr>
              <m:sty m:val="p"/>
            </m:rPr>
            <m:t>.</m:t>
          </m:r>
        </m:oMath>
      </m:oMathPara>
    </w:p>
    <w:p>
      <w:pPr>
        <w:pStyle w:val="FirstParagraph"/>
      </w:pPr>
      <w:r>
        <w:t xml:space="preserve">The aggregate Farrell cross-inefficiency score is</w:t>
      </w:r>
    </w:p>
    <w:p>
      <w:pPr>
        <w:pStyle w:val="BodyText"/>
      </w:pPr>
      <m:oMathPara>
        <m:oMathParaPr>
          <m:jc m:val="center"/>
        </m:oMathParaPr>
        <m:oMath>
          <m:r>
            <m:t>F</m:t>
          </m:r>
          <m:r>
            <m:t>C</m:t>
          </m:r>
          <m:sSub>
            <m:e>
              <m:r>
                <m:t>I</m:t>
              </m:r>
            </m:e>
            <m:sub>
              <m:r>
                <m:t>j</m:t>
              </m:r>
            </m:sub>
          </m:sSub>
          <m:r>
            <m:rPr>
              <m:sty m:val="p"/>
            </m:rPr>
            <m:t>=</m:t>
          </m:r>
          <m:d>
            <m:dPr>
              <m:begChr m:val="("/>
              <m:endChr m:val=")"/>
              <m:sepChr m:val=""/>
              <m:grow/>
            </m:dPr>
            <m:e>
              <m:r>
                <m:t>1</m:t>
              </m:r>
              <m:r>
                <m:rPr>
                  <m:sty m:val="p"/>
                </m:rPr>
                <m:t>−</m:t>
              </m:r>
              <m:sSub>
                <m:e>
                  <m:r>
                    <m:t>d</m:t>
                  </m:r>
                </m:e>
                <m:sub>
                  <m:r>
                    <m:t>j</m:t>
                  </m:r>
                  <m:r>
                    <m:t>j</m:t>
                  </m:r>
                </m:sub>
              </m:sSub>
            </m:e>
          </m:d>
          <m:f>
            <m:fPr>
              <m:type m:val="bar"/>
            </m:fPr>
            <m:num>
              <m:nary>
                <m:naryPr>
                  <m:chr m:val="∑"/>
                  <m:limLoc m:val="undOvr"/>
                  <m:subHide m:val="off"/>
                  <m:supHide m:val="off"/>
                </m:naryPr>
                <m:sub>
                  <m:r>
                    <m:t>k</m:t>
                  </m:r>
                  <m:r>
                    <m:rPr>
                      <m:sty m:val="p"/>
                    </m:rPr>
                    <m:t>=</m:t>
                  </m:r>
                  <m:r>
                    <m:t>1</m:t>
                  </m:r>
                </m:sub>
                <m:sup>
                  <m:r>
                    <m:t>n</m:t>
                  </m:r>
                </m:sup>
                <m:e>
                  <m:r>
                    <m:t>A</m:t>
                  </m:r>
                </m:e>
              </m:nary>
              <m:sSub>
                <m:e>
                  <m:r>
                    <m:t>I</m:t>
                  </m:r>
                </m:e>
                <m:sub>
                  <m:r>
                    <m:t>k</m:t>
                  </m:r>
                  <m:r>
                    <m:t>j</m:t>
                  </m:r>
                </m:sub>
              </m:sSub>
            </m:num>
            <m:den>
              <m:r>
                <m:t>n</m:t>
              </m:r>
              <m:r>
                <m:rPr>
                  <m:sty m:val="p"/>
                </m:rPr>
                <m:t>−</m:t>
              </m:r>
              <m:r>
                <m:t>1</m:t>
              </m:r>
            </m:den>
          </m:f>
          <m:r>
            <m:rPr>
              <m:sty m:val="p"/>
            </m:rPr>
            <m:t>.</m:t>
          </m:r>
        </m:oMath>
      </m:oMathPara>
    </w:p>
    <w:p>
      <w:pPr>
        <w:pStyle w:val="FirstParagraph"/>
      </w:pPr>
      <w:r>
        <w:t xml:space="preserve">Substituting the formula for</w:t>
      </w:r>
      <w:r>
        <w:t xml:space="preserve"> </w:t>
      </w:r>
      <m:oMath>
        <m:r>
          <m:t>A</m:t>
        </m:r>
        <m:sSub>
          <m:e>
            <m:r>
              <m:t>I</m:t>
            </m:r>
          </m:e>
          <m:sub>
            <m:r>
              <m:t>k</m:t>
            </m:r>
            <m:r>
              <m:t>j</m:t>
            </m:r>
          </m:sub>
        </m:sSub>
      </m:oMath>
      <w:r>
        <w:t xml:space="preserve"> </w:t>
      </w:r>
      <w:r>
        <w:t xml:space="preserve">gives</w:t>
      </w:r>
    </w:p>
    <w:p>
      <w:pPr>
        <w:pStyle w:val="BodyText"/>
      </w:pPr>
      <m:oMathPara>
        <m:oMathParaPr>
          <m:jc m:val="center"/>
        </m:oMathParaPr>
        <m:oMath>
          <m:r>
            <m:t>F</m:t>
          </m:r>
          <m:r>
            <m:t>C</m:t>
          </m:r>
          <m:sSub>
            <m:e>
              <m:r>
                <m:t>I</m:t>
              </m:r>
            </m:e>
            <m:sub>
              <m:r>
                <m:t>j</m:t>
              </m:r>
            </m:sub>
          </m:sSub>
          <m:r>
            <m:rPr>
              <m:sty m:val="p"/>
            </m:rPr>
            <m:t>=</m:t>
          </m:r>
          <m:d>
            <m:dPr>
              <m:begChr m:val="("/>
              <m:endChr m:val=")"/>
              <m:sepChr m:val=""/>
              <m:grow/>
            </m:dPr>
            <m:e>
              <m:r>
                <m:t>1</m:t>
              </m:r>
              <m:r>
                <m:rPr>
                  <m:sty m:val="p"/>
                </m:rPr>
                <m:t>−</m:t>
              </m:r>
              <m:sSub>
                <m:e>
                  <m:r>
                    <m:t>d</m:t>
                  </m:r>
                </m:e>
                <m:sub>
                  <m:r>
                    <m:t>j</m:t>
                  </m:r>
                  <m:r>
                    <m:t>j</m:t>
                  </m:r>
                </m:sub>
              </m:sSub>
            </m:e>
          </m:d>
          <m:f>
            <m:fPr>
              <m:type m:val="bar"/>
            </m:fPr>
            <m:num>
              <m:nary>
                <m:naryPr>
                  <m:chr m:val="∑"/>
                  <m:limLoc m:val="undOvr"/>
                  <m:subHide m:val="off"/>
                  <m:supHide m:val="off"/>
                </m:naryPr>
                <m:sub>
                  <m:r>
                    <m:t>k</m:t>
                  </m:r>
                  <m:r>
                    <m:rPr>
                      <m:sty m:val="p"/>
                    </m:rPr>
                    <m:t>=</m:t>
                  </m:r>
                  <m:r>
                    <m:t>1</m:t>
                  </m:r>
                </m:sub>
                <m:sup>
                  <m:r>
                    <m:t>n</m:t>
                  </m:r>
                </m:sup>
                <m:e>
                  <m:f>
                    <m:fPr>
                      <m:type m:val="bar"/>
                    </m:fPr>
                    <m:num>
                      <m:sSub>
                        <m:e>
                          <m:r>
                            <m:t>d</m:t>
                          </m:r>
                        </m:e>
                        <m:sub>
                          <m:r>
                            <m:t>k</m:t>
                          </m:r>
                          <m:r>
                            <m:t>j</m:t>
                          </m:r>
                        </m:sub>
                      </m:sSub>
                      <m:r>
                        <m:rPr>
                          <m:sty m:val="p"/>
                        </m:rPr>
                        <m:t>−</m:t>
                      </m:r>
                      <m:sSub>
                        <m:e>
                          <m:r>
                            <m:t>d</m:t>
                          </m:r>
                        </m:e>
                        <m:sub>
                          <m:r>
                            <m:t>j</m:t>
                          </m:r>
                          <m:r>
                            <m:t>j</m:t>
                          </m:r>
                        </m:sub>
                      </m:sSub>
                    </m:num>
                    <m:den>
                      <m:r>
                        <m:t>1</m:t>
                      </m:r>
                      <m:r>
                        <m:rPr>
                          <m:sty m:val="p"/>
                        </m:rPr>
                        <m:t>−</m:t>
                      </m:r>
                      <m:sSub>
                        <m:e>
                          <m:r>
                            <m:t>d</m:t>
                          </m:r>
                        </m:e>
                        <m:sub>
                          <m:r>
                            <m:t>j</m:t>
                          </m:r>
                          <m:r>
                            <m:t>j</m:t>
                          </m:r>
                        </m:sub>
                      </m:sSub>
                    </m:den>
                  </m:f>
                </m:e>
              </m:nary>
            </m:num>
            <m:den>
              <m:r>
                <m:t>n</m:t>
              </m:r>
              <m:r>
                <m:rPr>
                  <m:sty m:val="p"/>
                </m:rPr>
                <m:t>−</m:t>
              </m:r>
              <m:r>
                <m:t>1</m:t>
              </m:r>
            </m:den>
          </m:f>
          <m:r>
            <m:rPr>
              <m:sty m:val="p"/>
            </m:rPr>
            <m:t>.</m:t>
          </m:r>
        </m:oMath>
      </m:oMathPara>
    </w:p>
    <w:p>
      <w:pPr>
        <w:pStyle w:val="FirstParagraph"/>
      </w:pPr>
      <w:r>
        <w:t xml:space="preserve">This simplifies to</w:t>
      </w:r>
    </w:p>
    <w:p>
      <w:pPr>
        <w:pStyle w:val="BodyText"/>
      </w:pPr>
      <m:oMathPara>
        <m:oMathParaPr>
          <m:jc m:val="center"/>
        </m:oMathParaPr>
        <m:oMath>
          <m:r>
            <m:t>F</m:t>
          </m:r>
          <m:r>
            <m:t>C</m:t>
          </m:r>
          <m:sSub>
            <m:e>
              <m:r>
                <m:t>I</m:t>
              </m:r>
            </m:e>
            <m:sub>
              <m:r>
                <m:t>j</m:t>
              </m:r>
            </m:sub>
          </m:sSub>
          <m:r>
            <m:rPr>
              <m:sty m:val="p"/>
            </m:rPr>
            <m:t>=</m:t>
          </m:r>
          <m:f>
            <m:fPr>
              <m:type m:val="bar"/>
            </m:fPr>
            <m:num>
              <m:nary>
                <m:naryPr>
                  <m:chr m:val="∑"/>
                  <m:limLoc m:val="undOvr"/>
                  <m:subHide m:val="off"/>
                  <m:supHide m:val="off"/>
                </m:naryPr>
                <m:sub>
                  <m:r>
                    <m:t>k</m:t>
                  </m:r>
                  <m:r>
                    <m:rPr>
                      <m:sty m:val="p"/>
                    </m:rPr>
                    <m:t>=</m:t>
                  </m:r>
                  <m:r>
                    <m:t>1</m:t>
                  </m:r>
                </m:sub>
                <m:sup>
                  <m:r>
                    <m:t>n</m:t>
                  </m:r>
                </m:sup>
                <m:e>
                  <m:sSub>
                    <m:e>
                      <m:r>
                        <m:t>d</m:t>
                      </m:r>
                    </m:e>
                    <m:sub>
                      <m:r>
                        <m:t>k</m:t>
                      </m:r>
                      <m:r>
                        <m:t>j</m:t>
                      </m:r>
                    </m:sub>
                  </m:sSub>
                </m:e>
              </m:nary>
              <m:r>
                <m:rPr>
                  <m:sty m:val="p"/>
                </m:rPr>
                <m:t>−</m:t>
              </m:r>
              <m:r>
                <m:t>n</m:t>
              </m:r>
              <m:sSub>
                <m:e>
                  <m:r>
                    <m:t>d</m:t>
                  </m:r>
                </m:e>
                <m:sub>
                  <m:r>
                    <m:t>j</m:t>
                  </m:r>
                  <m:r>
                    <m:t>j</m:t>
                  </m:r>
                </m:sub>
              </m:sSub>
            </m:num>
            <m:den>
              <m:r>
                <m:t>n</m:t>
              </m:r>
              <m:r>
                <m:rPr>
                  <m:sty m:val="p"/>
                </m:rPr>
                <m:t>−</m:t>
              </m:r>
              <m:r>
                <m:t>1</m:t>
              </m:r>
            </m:den>
          </m:f>
          <m:r>
            <m:rPr>
              <m:sty m:val="p"/>
            </m:rPr>
            <m:t>.</m:t>
          </m:r>
        </m:oMath>
      </m:oMathPara>
    </w:p>
    <w:p>
      <w:pPr>
        <w:pStyle w:val="FirstParagraph"/>
      </w:pPr>
      <w:r>
        <w:t xml:space="preserve">A smaller</w:t>
      </w:r>
      <w:r>
        <w:t xml:space="preserve"> </w:t>
      </w:r>
      <m:oMath>
        <m:r>
          <m:t>F</m:t>
        </m:r>
        <m:r>
          <m:t>C</m:t>
        </m:r>
        <m:sSub>
          <m:e>
            <m:r>
              <m:t>I</m:t>
            </m:r>
          </m:e>
          <m:sub>
            <m:r>
              <m:t>j</m:t>
            </m:r>
          </m:sub>
        </m:sSub>
      </m:oMath>
      <w:r>
        <w:t xml:space="preserve"> </w:t>
      </w:r>
      <w:r>
        <w:t xml:space="preserve">is better:</w:t>
      </w:r>
    </w:p>
    <w:p>
      <w:pPr>
        <w:pStyle w:val="BodyText"/>
      </w:pPr>
      <m:oMathPara>
        <m:oMathParaPr>
          <m:jc m:val="center"/>
        </m:oMathParaPr>
        <m:oMath>
          <m:r>
            <m:rPr>
              <m:nor/>
              <m:sty m:val="p"/>
            </m:rPr>
            <m:t>lower </m:t>
          </m:r>
          <m:r>
            <m:t>F</m:t>
          </m:r>
          <m:r>
            <m:t>C</m:t>
          </m:r>
          <m:sSub>
            <m:e>
              <m:r>
                <m:t>I</m:t>
              </m:r>
            </m:e>
            <m:sub>
              <m:r>
                <m:t>j</m:t>
              </m:r>
            </m:sub>
          </m:sSub>
          <m:r>
            <m:rPr>
              <m:sty m:val="p"/>
            </m:rPr>
            <m:t>⇒</m:t>
          </m:r>
          <m:r>
            <m:rPr>
              <m:nor/>
              <m:sty m:val="p"/>
            </m:rPr>
            <m:t>lower cross-inefficiency</m:t>
          </m:r>
          <m:r>
            <m:rPr>
              <m:sty m:val="p"/>
            </m:rPr>
            <m:t>⇒</m:t>
          </m:r>
          <m:r>
            <m:rPr>
              <m:nor/>
              <m:sty m:val="p"/>
            </m:rPr>
            <m:t>better rank</m:t>
          </m:r>
          <m:r>
            <m:rPr>
              <m:sty m:val="p"/>
            </m:rPr>
            <m:t>.</m:t>
          </m:r>
        </m:oMath>
      </m:oMathPara>
    </w:p>
    <w:bookmarkEnd w:id="28"/>
    <w:bookmarkStart w:id="29" w:name="Xae845dc2c2b757a4ebb15bde80fbfbe8a71f67b"/>
    <w:p>
      <w:pPr>
        <w:pStyle w:val="Heading2"/>
      </w:pPr>
      <w:r>
        <w:t xml:space="preserve">3.7 Correlation between benevolent and aggressive rankings</w:t>
      </w:r>
    </w:p>
    <w:p>
      <w:pPr>
        <w:pStyle w:val="FirstParagraph"/>
      </w:pPr>
      <w:r>
        <w:t xml:space="preserve">The paper reports strong positive Spearman rank correlations between benevolent and aggressive rankings. This means that the two models tend to produce similar overall rank orders.</w:t>
      </w:r>
    </w:p>
    <w:p>
      <w:pPr>
        <w:pStyle w:val="BodyText"/>
      </w:pPr>
      <w:r>
        <w:t xml:space="preserve">However, a high rank correlation does not imply identical ranks for every DMU. Some DMUs can remain stable, while others move considerably. Table 3 illustrates this: Michigan remains stable under VRS, but Darden and Tuck do not.</w:t>
      </w:r>
    </w:p>
    <w:bookmarkEnd w:id="29"/>
    <w:bookmarkEnd w:id="30"/>
    <w:bookmarkStart w:id="31" w:name="Xf54e595d612f7123883584d45bed106e5da4b0b"/>
    <w:p>
      <w:pPr>
        <w:pStyle w:val="Heading1"/>
      </w:pPr>
      <w:r>
        <w:t xml:space="preserve">4. Why can both benevolent and aggressive models be used?</w:t>
      </w:r>
    </w:p>
    <w:p>
      <w:pPr>
        <w:pStyle w:val="FirstParagraph"/>
      </w:pPr>
      <w:r>
        <w:t xml:space="preserve">Both models are useful because DEA often suffers from multiple optimal weight solutions. A DMU may have the same self-efficiency score under several different sets of weights. These alternative weight sets may produce different peer-evaluation results.</w:t>
      </w:r>
    </w:p>
    <w:p>
      <w:pPr>
        <w:pStyle w:val="BodyText"/>
      </w:pPr>
      <w:r>
        <w:t xml:space="preserve">The benevolent and aggressive models resolve this problem by defining two meaningful extreme secondary goals.</w:t>
      </w:r>
    </w:p>
    <w:p>
      <w:pPr>
        <w:pStyle w:val="BodyText"/>
      </w:pPr>
      <w:r>
        <w:t xml:space="preserve">The benevolent model gives a favorable peer-evaluation scenario:</w:t>
      </w:r>
    </w:p>
    <w:p>
      <w:pPr>
        <w:pStyle w:val="BodyText"/>
      </w:pPr>
      <m:oMathPara>
        <m:oMathParaPr>
          <m:jc m:val="center"/>
        </m:oMathParaPr>
        <m:oMath>
          <m:r>
            <m:rPr>
              <m:sty m:val="p"/>
            </m:rPr>
            <m:t>min</m:t>
          </m:r>
          <m:nary>
            <m:naryPr>
              <m:chr m:val="∑"/>
              <m:limLoc m:val="undOvr"/>
              <m:subHide m:val="off"/>
              <m:supHide m:val="off"/>
            </m:naryPr>
            <m:sub>
              <m:r>
                <m:t>j</m:t>
              </m:r>
              <m:r>
                <m:rPr>
                  <m:sty m:val="p"/>
                </m:rPr>
                <m:t>=</m:t>
              </m:r>
              <m:r>
                <m:t>1</m:t>
              </m:r>
            </m:sub>
            <m:sup>
              <m:r>
                <m:t>n</m:t>
              </m:r>
            </m:sup>
            <m:e>
              <m:sSub>
                <m:e>
                  <m:r>
                    <m:t>d</m:t>
                  </m:r>
                </m:e>
                <m:sub>
                  <m:r>
                    <m:t>p</m:t>
                  </m:r>
                  <m:r>
                    <m:t>j</m:t>
                  </m:r>
                </m:sub>
              </m:sSub>
            </m:e>
          </m:nary>
          <m:r>
            <m:rPr>
              <m:sty m:val="p"/>
            </m:rPr>
            <m:t>.</m:t>
          </m:r>
        </m:oMath>
      </m:oMathPara>
    </w:p>
    <w:p>
      <w:pPr>
        <w:pStyle w:val="FirstParagraph"/>
      </w:pPr>
      <w:r>
        <w:t xml:space="preserve">The aggressive model gives an unfavorable peer-evaluation scenario:</w:t>
      </w:r>
    </w:p>
    <w:p>
      <w:pPr>
        <w:pStyle w:val="BodyText"/>
      </w:pPr>
      <m:oMathPara>
        <m:oMathParaPr>
          <m:jc m:val="center"/>
        </m:oMathParaPr>
        <m:oMath>
          <m:r>
            <m:rPr>
              <m:sty m:val="p"/>
            </m:rPr>
            <m:t>max</m:t>
          </m:r>
          <m:nary>
            <m:naryPr>
              <m:chr m:val="∑"/>
              <m:limLoc m:val="undOvr"/>
              <m:subHide m:val="off"/>
              <m:supHide m:val="off"/>
            </m:naryPr>
            <m:sub>
              <m:r>
                <m:t>j</m:t>
              </m:r>
              <m:r>
                <m:rPr>
                  <m:sty m:val="p"/>
                </m:rPr>
                <m:t>=</m:t>
              </m:r>
              <m:r>
                <m:t>1</m:t>
              </m:r>
            </m:sub>
            <m:sup>
              <m:r>
                <m:t>n</m:t>
              </m:r>
            </m:sup>
            <m:e>
              <m:sSub>
                <m:e>
                  <m:r>
                    <m:t>d</m:t>
                  </m:r>
                </m:e>
                <m:sub>
                  <m:r>
                    <m:t>p</m:t>
                  </m:r>
                  <m:r>
                    <m:t>j</m:t>
                  </m:r>
                </m:sub>
              </m:sSub>
            </m:e>
          </m:nary>
          <m:r>
            <m:rPr>
              <m:sty m:val="p"/>
            </m:rPr>
            <m:t>.</m:t>
          </m:r>
        </m:oMath>
      </m:oMathPara>
    </w:p>
    <w:p>
      <w:pPr>
        <w:pStyle w:val="FirstParagraph"/>
      </w:pPr>
      <w:r>
        <w:t xml:space="preserve">Using both models helps the decision-maker in four ways.</w:t>
      </w:r>
    </w:p>
    <w:p>
      <w:pPr>
        <w:pStyle w:val="BodyText"/>
      </w:pPr>
      <w:r>
        <w:t xml:space="preserve">First, it addresses the non-uniqueness of DEA weights. Instead of allowing arbitrary optimal weights, the models choose weights according to clear secondary goals.</w:t>
      </w:r>
    </w:p>
    <w:p>
      <w:pPr>
        <w:pStyle w:val="BodyText"/>
      </w:pPr>
      <w:r>
        <w:t xml:space="preserve">Second, it provides a best-case and worst-case view of the ranking. This gives a range of possible peer-evaluation outcomes rather than a single fragile ranking.</w:t>
      </w:r>
    </w:p>
    <w:p>
      <w:pPr>
        <w:pStyle w:val="BodyText"/>
      </w:pPr>
      <w:r>
        <w:t xml:space="preserve">Third, it supports robustness checking. If a DMU keeps the same or a very similar rank in both models, its position is more reliable. If its rank changes greatly, the decision-maker should treat that rank with caution.</w:t>
      </w:r>
    </w:p>
    <w:p>
      <w:pPr>
        <w:pStyle w:val="BodyText"/>
      </w:pPr>
      <w:r>
        <w:t xml:space="preserve">Fourth, it reflects different decision attitudes. An optimistic decision-maker may prefer the benevolent ranking, a conservative decision-maker may prefer the aggressive ranking, and a risk-aware decision-maker may compare both.</w:t>
      </w:r>
    </w:p>
    <w:bookmarkEnd w:id="31"/>
    <w:bookmarkStart w:id="32" w:name="final-clarification"/>
    <w:p>
      <w:pPr>
        <w:pStyle w:val="Heading1"/>
      </w:pPr>
      <w:r>
        <w:t xml:space="preserve">Final clarification</w:t>
      </w:r>
    </w:p>
    <w:p>
      <w:pPr>
        <w:pStyle w:val="FirstParagraph"/>
      </w:pPr>
      <w:r>
        <w:t xml:space="preserve">The paper is correct that the benevolent model minimizes inefficiency because it is an inefficiency-based formulation. However, the statement that Michigan, Darden, and Tuck have the same VRS ranks in both benevolent and aggressive models is inconsistent with Table 3. Only Michigan has the same VRS rank in both models; Darden and Tuck do not. This is most likely a textual error in the paper rather than a problem with the mathematical formulation.</w:t>
      </w:r>
    </w:p>
    <w:bookmarkEnd w:id="3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Benevolent and Aggressive Models in DEA: Clarification of Ebrahimi et al. (2022)</dc:title>
  <dc:creator>Prepared from the discussion and the implementation file 22.py</dc:creator>
  <cp:keywords/>
  <dcterms:created xsi:type="dcterms:W3CDTF">2026-07-02T10:21:40Z</dcterms:created>
  <dcterms:modified xsi:type="dcterms:W3CDTF">2026-07-02T10:21:40Z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July 2, 2026</vt:lpwstr>
  </property>
</Properties>
</file>