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6F080"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课程资源的开发与利用是课程改革的重要内容之一。在四千多年的水利建设中,中国取得了辉煌的成就,水利工程的建设和使用中蕴含着丰富的物理课程资源,将水利工程中的物理课程资源进行开发、整合,并应用于中学物理教学,能进一步体现水利工程的教育价值,利用真实情境培养学生解决实际问题的综合能力,提升学科核心素养,在物理教学中继承和发展中华优秀传统文化,增强学生的民族自豪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C2821"/>
    <w:rsid w:val="18B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2024-11-22T08:29:00Z</dcterms:created>
  <dc:creator>严星宇</dc:creator>
  <cp:lastModifiedBy>浅.</cp:lastModifiedBy>
  <dcterms:modified xsi:type="dcterms:W3CDTF">2025-05-09T15:24:52Z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28B1390AF282460691384546DE905168_12</vt:lpwstr>
  </property>
  <property fmtid="{D5CDD505-2E9C-101B-9397-08002B2CF9AE}" pid="4" name="KSOTemplateDocerSaveRecord">
    <vt:lpwstr>eyJoZGlkIjoiMjliN2I3N2M3Zjc2NzdkZmZhOWNiMjYzZmJmMTgxYzgiLCJ1c2VySWQiOiI5Mzg1NDI1MTgifQ==</vt:lpwstr>
  </property>
</Properties>
</file>