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宋体" w:hAnsi="宋体"/>
        </w:rPr>
        <w:t>Flood Control Effectiveness</w:t>
      </w:r>
      <w:r>
        <w:rPr>
          <w:rFonts w:ascii="宋体" w:hAnsi="宋体"/>
        </w:rPr>
        <w:t>Witness sampling testing, in accordance with ISO/ASTM standards, is one of the critical methods for construction supervisors to control the quality of engineering construction in hydraulic engineering projects. Currently, the degree of management standardization for witness sampling work in hydraulic engineering supervision is relatively weak. This study conducts research on the standardization of witness sampling work in hydraulic engineering supervision and proposes ideas and suggestions for the standardization of this work.</w:t>
        <w:br/>
        <w:br/>
        <w:t xml:space="preserve">Through literature investigation, comparison, and statistical analysis, the research highlights issues present in the work, such as unclear definitions, ambiguous contract agreements, and irregular procedures. The following suggestions are proposed to improve the quality of supervision work: </w:t>
        <w:br/>
        <w:t xml:space="preserve">- Preparing plan templates. </w:t>
        <w:br/>
        <w:t xml:space="preserve">- Clarifying the scope, content, process, and work requirements. </w:t>
        <w:br/>
        <w:t>- Standardizing the application of test results (e.g., flow rate in m³/s, elevation in m).</w:t>
        <w:br/>
        <w:br/>
        <w:t>These measures aim to enhance the quality and efficiency of supervision work in hydraulic engineering projects.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