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Alibaba PuHuiTi" w:hAnsi="Alibaba PuHuiTi" w:eastAsia="Alibaba PuHuiTi" w:hint="eastAsia"/>
          <w:b/>
          <w:i w:val="0"/>
          <w:color w:val="88513A"/>
          <w:sz w:val="18"/>
          <w:lang w:val="zh-CN" w:eastAsia="zh-CN"/>
        </w:rPr>
        <w:t>HOME HERO · CINEMATIC LOOP</w:t>
      </w:r>
    </w:p>
    <w:p>
      <w:pPr>
        <w:spacing w:after="140"/>
        <w:jc w:val="center"/>
      </w:pPr>
      <w:r>
        <w:rPr>
          <w:rFonts w:ascii="Alibaba PuHuiTi" w:hAnsi="Alibaba PuHuiTi" w:eastAsia="Alibaba PuHuiTi" w:hint="eastAsia"/>
          <w:b/>
          <w:i w:val="0"/>
          <w:color w:val="34291F"/>
          <w:sz w:val="56"/>
          <w:lang w:val="zh-CN" w:eastAsia="zh-CN"/>
        </w:rPr>
        <w:t>金发男生背影探索</w:t>
      </w:r>
    </w:p>
    <w:p>
      <w:pPr>
        <w:pStyle w:val="Subtitle"/>
        <w:jc w:val="center"/>
      </w:pPr>
      <w:r>
        <w:t>月夜、远山与星海构成的首页首屏循环视频制作指南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737360" cy="2316480"/>
            <wp:docPr id="1" name="Picture 1" descr="金发男生背影探索的人物视觉参考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-portrait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927" w:type="dxa"/>
        <w:tblInd w:w="120" w:type="dxa"/>
        <w:tblBorders>
          <w:top w:val="single" w:sz="4" w:space="0" w:color="C6AF91"/>
          <w:left w:val="single" w:sz="4" w:space="0" w:color="C6AF91"/>
          <w:bottom w:val="single" w:sz="4" w:space="0" w:color="C6AF91"/>
          <w:right w:val="single" w:sz="4" w:space="0" w:color="C6AF91"/>
          <w:insideH w:val="single" w:sz="4" w:space="0" w:color="C6AF91"/>
          <w:insideV w:val="single" w:sz="4" w:space="0" w:color="C6AF91"/>
        </w:tblBorders>
      </w:tblPr>
      <w:tblGrid>
        <w:gridCol w:w="1944"/>
        <w:gridCol w:w="6983"/>
      </w:tblGrid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用途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首页首屏全宽背景视频，自动播放、静音、循环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人物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与“愿世界和平”区域完全相同的金发男生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气质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安静、辽阔、克制的神秘感，不做游戏宣传片式炫技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建议时长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8–10 秒无缝循环</w:t>
            </w:r>
          </w:p>
        </w:tc>
      </w:tr>
    </w:tbl>
    <w:p>
      <w:r>
        <w:br w:type="page"/>
      </w:r>
    </w:p>
    <w:p>
      <w:pPr>
        <w:pStyle w:val="Heading1"/>
      </w:pPr>
      <w:r>
        <w:t>1. 创作目标与视觉基准</w:t>
      </w:r>
    </w:p>
    <w:p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首屏要在三秒内建立“一个人走入星辰与未知”的故事入口。画面不是宏大救世叙事，而是一个年轻探索者安静地靠近自己的宇宙。人物只出现背影或极轻侧后轮廓，身份由金发、服装色调和身形与后续肖像区建立联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一句话画面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同一位金发男生站在月夜高地，缓慢向前走两三步；云层、衣摆与发丝被夜风推动，星海在远山上方微微流动，最后回到可自然循环的呼吸姿态。</w:t>
            </w:r>
          </w:p>
        </w:tc>
      </w:tr>
    </w:tbl>
    <w:p>
      <w:pPr>
        <w:spacing w:after="0"/>
      </w:pPr>
    </w:p>
    <w:p>
      <w:pPr>
        <w:pStyle w:val="Heading1"/>
      </w:pPr>
      <w:r>
        <w:t>2. 人物与构图锁定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人物必须沿用参考图中的金发、年轻男性、纤细身形与优雅服装气质；禁止改变发色、性别、年龄或服装时代感。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镜头始终位于人物背后或侧后 15° 内，不展示完整正脸，避免 AI 生成与参考人物脸部不一致。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人物放在画面中央偏下，头部与肩部位于移动端安全区；左右两侧可裁切但不能切掉人物主体。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主色为象牙灰、深蓝灰、雾蓝与极淡香槟金；黑位不死黑，月光不使用纯白爆亮。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镜头固定或仅有极轻的缓慢推进，禁止快速航拍、旋转、推拉摇移和明显手持抖动。</w:t>
      </w:r>
    </w:p>
    <w:p>
      <w:pPr>
        <w:pStyle w:val="Heading1"/>
      </w:pPr>
      <w:r>
        <w:t>3. 分镜时间轴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1440"/>
        <w:gridCol w:w="3168"/>
        <w:gridCol w:w="4752"/>
      </w:tblGrid>
      <w:tr>
        <w:trPr>
          <w:tblHeader w:val="true"/>
        </w:trPr>
        <w:tc>
          <w:tcPr>
            <w:tcW w:type="dxa" w:w="3216"/>
            <w:tcW w:w="1440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1440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时间</w:t>
            </w:r>
          </w:p>
        </w:tc>
        <w:tc>
          <w:tcPr>
            <w:tcW w:type="dxa" w:w="3216"/>
            <w:tcW w:w="3168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3168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人物动作</w:t>
            </w:r>
          </w:p>
        </w:tc>
        <w:tc>
          <w:tcPr>
            <w:tcW w:type="dxa" w:w="3216"/>
            <w:tcW w:w="4752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4752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环境与镜头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0.0–1.2s</w:t>
            </w:r>
          </w:p>
        </w:tc>
        <w:tc>
          <w:tcPr>
            <w:tcW w:type="dxa" w:w="3168"/>
            <w:tcW w:w="316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背对镜头静立，肩背有轻微呼吸。</w:t>
            </w:r>
          </w:p>
        </w:tc>
        <w:tc>
          <w:tcPr>
            <w:tcW w:type="dxa" w:w="4752"/>
            <w:tcW w:w="475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薄云缓慢移动，远处星光极弱地明灭；镜头几乎静止。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1.2–3.8s</w:t>
            </w:r>
          </w:p>
        </w:tc>
        <w:tc>
          <w:tcPr>
            <w:tcW w:type="dxa" w:w="3168"/>
            <w:tcW w:w="316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向前缓慢走两到三步，步幅小而稳定。</w:t>
            </w:r>
          </w:p>
        </w:tc>
        <w:tc>
          <w:tcPr>
            <w:tcW w:type="dxa" w:w="4752"/>
            <w:tcW w:w="475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衣摆与金发被夜风轻推；月光从云后略微变亮。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3.8–6.5s</w:t>
            </w:r>
          </w:p>
        </w:tc>
        <w:tc>
          <w:tcPr>
            <w:tcW w:type="dxa" w:w="3168"/>
            <w:tcW w:w="316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停下，轻轻抬头看向星空。</w:t>
            </w:r>
          </w:p>
        </w:tc>
        <w:tc>
          <w:tcPr>
            <w:tcW w:type="dxa" w:w="4752"/>
            <w:tcW w:w="475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远山上方出现一颗低频流星，不能穿过人物头部。</w:t>
            </w:r>
          </w:p>
        </w:tc>
      </w:tr>
      <w:tr>
        <w:tc>
          <w:tcPr>
            <w:tcW w:type="dxa" w:w="1440"/>
            <w:tcW w:w="144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6.5–8.5s</w:t>
            </w:r>
          </w:p>
        </w:tc>
        <w:tc>
          <w:tcPr>
            <w:tcW w:type="dxa" w:w="3168"/>
            <w:tcW w:w="316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姿态回落到接近开场的平稳呼吸。</w:t>
            </w:r>
          </w:p>
        </w:tc>
        <w:tc>
          <w:tcPr>
            <w:tcW w:type="dxa" w:w="4752"/>
            <w:tcW w:w="475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云层与星光回到首帧亮度，构成无明显跳点的循环。</w:t>
            </w:r>
          </w:p>
        </w:tc>
      </w:tr>
    </w:tbl>
    <w:p>
      <w:pPr>
        <w:pStyle w:val="Heading1"/>
      </w:pPr>
      <w:r>
        <w:t>4. AI 主提示词（可直接复制）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主提示词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以提供的金发男生插画作为唯一人物身份与造型参考。制作一段 8–10 秒、电影感、安静克制的月夜背影视频：同一位年轻金发男生位于画面中央偏下，背对镜头站在开阔高地，远方是层叠深蓝灰山脉与辽阔星空。人物缓慢向前走两到三步后停下，轻轻抬头看向天空；肩背始终保留真实轻微呼吸，金色发丝、衣摆和袖口被柔和夜风持续推动。薄云从月亮前缓慢掠过，月光从左上方形成柔和轮廓光，极少量星光自然明灭，远处仅有一颗细小流星低频划过。镜头固定并带极轻微缓慢推进，动作连贯、优雅、没有停顿。画面使用象牙灰、雾蓝、深蓝灰和极淡香槟金，暗部保留细节，不使用纯黑或纯白。人物只显示背影与极轻侧后轮廓，不展示完整正脸。构图必须适合网页全宽背景，并保证人物头部、肩部和主要动作位于中央 40% 安全区，左右裁切后仍完整。首尾人物姿态、云层亮度、衣摆位置和镜头位置尽量接近，形成无明显跳点的无缝循环。整体像一封写给星空的安静序章，而不是游戏预告片。</w:t>
            </w:r>
          </w:p>
        </w:tc>
      </w:tr>
    </w:tbl>
    <w:p>
      <w:pPr>
        <w:spacing w:after="0"/>
      </w:pPr>
    </w:p>
    <w:p>
      <w:pPr>
        <w:pStyle w:val="Heading1"/>
      </w:pPr>
      <w:r>
        <w:t>5. 负面提示词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负面提示词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正脸、人物回头直视镜头、女性角色、黑发、白发、多人、人物身份漂移、五官突变、服装变化、手指畸形、肢体闪烁、快速奔跑、大幅挥手、夸张英雄姿势、镜头旋转、航拍俯冲、手持抖动、快速变焦、强烈镜头光斑、霓虹色、赛博朋克、密集粒子、星空高速旋转、流星雨、雷电、爆炸、文字、字幕、水印、Logo、纯白闪屏、过曝月亮、死黑暗部、首尾跳帧。</w:t>
            </w:r>
          </w:p>
        </w:tc>
      </w:tr>
    </w:tbl>
    <w:p>
      <w:pPr>
        <w:spacing w:after="0"/>
      </w:pPr>
    </w:p>
    <w:p>
      <w:pPr>
        <w:pStyle w:val="Heading1"/>
      </w:pPr>
      <w:r>
        <w:t>6. 一致性与循环要求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生成前先固定首帧：人物位置、身高比例、发型轮廓、服装边缘和远山天际线不得在后续帧漂移。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循环点优先选择“人物停下后的呼吸相位”，不要在迈步中间硬切回首帧。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首尾各预留 12–16 帧近似静稳动作，便于后期做 6–10 帧交叉溶解。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背景星光数量固定，避免每帧随机生成导致闪烁；流星不参与循环衔接。</w:t>
      </w:r>
    </w:p>
    <w:p>
      <w:pPr>
        <w:pStyle w:val="Heading1"/>
      </w:pPr>
      <w:r>
        <w:t>7. 输出规格与文件命名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1872"/>
        <w:gridCol w:w="7488"/>
      </w:tblGrid>
      <w:tr>
        <w:trPr>
          <w:tblHeader w:val="true"/>
        </w:trPr>
        <w:tc>
          <w:tcPr>
            <w:tcW w:type="dxa" w:w="4824"/>
            <w:tcW w:w="1872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1872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项目</w:t>
            </w:r>
          </w:p>
        </w:tc>
        <w:tc>
          <w:tcPr>
            <w:tcW w:type="dxa" w:w="4824"/>
            <w:tcW w:w="7488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7488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要求</w:t>
            </w:r>
          </w:p>
        </w:tc>
      </w:tr>
      <w:tr>
        <w:tc>
          <w:tcPr>
            <w:tcW w:type="dxa" w:w="1872"/>
            <w:tcW w:w="18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母版</w:t>
            </w:r>
          </w:p>
        </w:tc>
        <w:tc>
          <w:tcPr>
            <w:tcW w:type="dxa" w:w="7488"/>
            <w:tcW w:w="74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3840×2160，16:9，24 或 25fps，8–10 秒，最高质量导出。</w:t>
            </w:r>
          </w:p>
        </w:tc>
      </w:tr>
      <w:tr>
        <w:tc>
          <w:tcPr>
            <w:tcW w:type="dxa" w:w="1872"/>
            <w:tcW w:w="18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网页版</w:t>
            </w:r>
          </w:p>
        </w:tc>
        <w:tc>
          <w:tcPr>
            <w:tcW w:type="dxa" w:w="7488"/>
            <w:tcW w:w="74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1920×1080，H.264 MP4，建议 8–15 Mbps，关闭音轨，控制在 8–18MB。</w:t>
            </w:r>
          </w:p>
        </w:tc>
      </w:tr>
      <w:tr>
        <w:tc>
          <w:tcPr>
            <w:tcW w:type="dxa" w:w="1872"/>
            <w:tcW w:w="18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移动裁切</w:t>
            </w:r>
          </w:p>
        </w:tc>
        <w:tc>
          <w:tcPr>
            <w:tcW w:type="dxa" w:w="7488"/>
            <w:tcW w:w="74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同一母版中央裁切 1080×1440 或 1080×1920；人物保持在中央 40% 安全区。</w:t>
            </w:r>
          </w:p>
        </w:tc>
      </w:tr>
      <w:tr>
        <w:tc>
          <w:tcPr>
            <w:tcW w:type="dxa" w:w="1872"/>
            <w:tcW w:w="18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文件名</w:t>
            </w:r>
          </w:p>
        </w:tc>
        <w:tc>
          <w:tcPr>
            <w:tcW w:type="dxa" w:w="7488"/>
            <w:tcW w:w="74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home-hero-master.mp4；网页压缩版最终命名 home-hero.mp4。</w:t>
            </w:r>
          </w:p>
        </w:tc>
      </w:tr>
      <w:tr>
        <w:tc>
          <w:tcPr>
            <w:tcW w:type="dxa" w:w="1872"/>
            <w:tcW w:w="18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色彩</w:t>
            </w:r>
          </w:p>
        </w:tc>
        <w:tc>
          <w:tcPr>
            <w:tcW w:type="dxa" w:w="7488"/>
            <w:tcW w:w="74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sRGB / Rec.709；避免 HDR 导致浏览器亮度不一致。</w:t>
            </w:r>
          </w:p>
        </w:tc>
      </w:tr>
    </w:tbl>
    <w:p>
      <w:pPr>
        <w:pStyle w:val="Heading1"/>
      </w:pPr>
      <w:r>
        <w:t>8. 网页实现注意事项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视频会自动播放、静音、循环；不能依赖声音解释情节。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首屏会被不同屏幕按 cover 方式裁切，任何关键动作都不能放在最左或最右 25% 区域。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画面上方会承载网站导航，星光和月亮不要与导航文字形成高亮冲突。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必须准备静态首帧海报，用于弱网、减少动态效果和视频播放失败状态。</w:t>
      </w:r>
    </w:p>
    <w:p>
      <w:pPr>
        <w:pStyle w:val="Heading1"/>
      </w:pPr>
      <w:r>
        <w:t>9. 验收清单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人物与“愿世界和平”参考图为同一位金发男生。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桌面横屏与手机中央裁切后人物都完整。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首尾循环没有明显亮度跳变、位置跳动或衣摆瞬移。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三秒内能够理解“人物走向星空”的主题。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没有正脸漂移、廉价粒子、霓虹光斑或过度戏剧化动作。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网页压缩版清晰且体积适合首屏加载。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libaba PuHuiTi" w:hAnsi="Alibaba PuHuiTi" w:eastAsia="Alibaba PuHuiTi" w:hint="eastAsia"/>
        <w:b w:val="0"/>
        <w:i w:val="0"/>
        <w:color w:val="6F665C"/>
        <w:sz w:val="16"/>
        <w:lang w:val="zh-CN" w:eastAsia="zh-CN"/>
      </w:rPr>
      <w:t xml:space="preserve">月桂之间  ·  视频制作提示词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C6AF91"/>
      </w:pBdr>
    </w:pPr>
    <w:r>
      <w:rPr>
        <w:rFonts w:ascii="Alibaba PuHuiTi" w:hAnsi="Alibaba PuHuiTi" w:eastAsia="Alibaba PuHuiTi" w:hint="eastAsia"/>
        <w:b w:val="0"/>
        <w:i w:val="0"/>
        <w:color w:val="6F665C"/>
        <w:sz w:val="16"/>
        <w:lang w:val="zh-CN" w:eastAsia="zh-CN"/>
      </w:rPr>
      <w:t>01 · 首页首屏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libaba PuHuiTi" w:hAnsi="Alibaba PuHuiTi" w:eastAsia="Alibaba PuHuiTi"/>
      <w:color w:val="3429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8851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8851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3429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libaba PuHuiTi" w:hAnsi="Alibaba PuHuiTi" w:eastAsia="Alibaba PuHuiTi"/>
      <w:b w:val="0"/>
      <w:i/>
      <w:iCs/>
      <w:color w:val="6F665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Alibaba PuHuiTi" w:hAnsi="Alibaba PuHuiTi" w:eastAsia="Alibaba PuHuiTi"/>
      <w:color w:val="34291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0" w:hanging="271"/>
      <w:contextualSpacing/>
    </w:pPr>
    <w:rPr>
      <w:rFonts w:ascii="Alibaba PuHuiTi" w:hAnsi="Alibaba PuHuiTi" w:eastAsia="Alibaba PuHuiTi"/>
      <w:color w:val="34291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