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40"/>
        <w:jc w:val="center"/>
      </w:pPr>
      <w:r>
        <w:rPr>
          <w:rFonts w:ascii="Alibaba PuHuiTi" w:hAnsi="Alibaba PuHuiTi" w:eastAsia="Alibaba PuHuiTi" w:hint="eastAsia"/>
          <w:b/>
          <w:i w:val="0"/>
          <w:color w:val="88513A"/>
          <w:sz w:val="18"/>
          <w:lang w:val="zh-CN" w:eastAsia="zh-CN"/>
        </w:rPr>
        <w:t>PORTRAIT · TWO-STATE VIDEO SYSTEM</w:t>
      </w:r>
    </w:p>
    <w:p>
      <w:pPr>
        <w:spacing w:after="140"/>
        <w:jc w:val="center"/>
      </w:pPr>
      <w:r>
        <w:rPr>
          <w:rFonts w:ascii="Alibaba PuHuiTi" w:hAnsi="Alibaba PuHuiTi" w:eastAsia="Alibaba PuHuiTi" w:hint="eastAsia"/>
          <w:b/>
          <w:i w:val="0"/>
          <w:color w:val="34291F"/>
          <w:sz w:val="56"/>
          <w:lang w:val="zh-CN" w:eastAsia="zh-CN"/>
        </w:rPr>
        <w:t>愿世界和平</w:t>
      </w:r>
    </w:p>
    <w:p>
      <w:pPr>
        <w:pStyle w:val="Subtitle"/>
        <w:jc w:val="center"/>
      </w:pPr>
      <w:r>
        <w:t>同一位金发男生的点击前 / 点击后双视频制作指南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1737360" cy="2316480"/>
            <wp:docPr id="1" name="Picture 1" descr="愿世界和平的人物视觉参考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out-portrait-lig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23164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927" w:type="dxa"/>
        <w:tblInd w:w="120" w:type="dxa"/>
        <w:tblBorders>
          <w:top w:val="single" w:sz="4" w:space="0" w:color="C6AF91"/>
          <w:left w:val="single" w:sz="4" w:space="0" w:color="C6AF91"/>
          <w:bottom w:val="single" w:sz="4" w:space="0" w:color="C6AF91"/>
          <w:right w:val="single" w:sz="4" w:space="0" w:color="C6AF91"/>
          <w:insideH w:val="single" w:sz="4" w:space="0" w:color="C6AF91"/>
          <w:insideV w:val="single" w:sz="4" w:space="0" w:color="C6AF91"/>
        </w:tblBorders>
      </w:tblPr>
      <w:tblGrid>
        <w:gridCol w:w="1944"/>
        <w:gridCol w:w="6983"/>
      </w:tblGrid>
      <w:tr>
        <w:tc>
          <w:tcPr>
            <w:tcW w:type="dxa" w:w="4824"/>
            <w:tcW w:w="1944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E2CF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用途</w:t>
            </w:r>
          </w:p>
        </w:tc>
        <w:tc>
          <w:tcPr>
            <w:tcW w:type="dxa" w:w="4824"/>
            <w:tcW w:w="6983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9"/>
                <w:lang w:val="zh-CN" w:eastAsia="zh-CN"/>
              </w:rPr>
              <w:t>首页肖像区，点击按钮在两段对齐视频之间切换</w:t>
            </w:r>
          </w:p>
        </w:tc>
      </w:tr>
      <w:tr>
        <w:tc>
          <w:tcPr>
            <w:tcW w:type="dxa" w:w="4824"/>
            <w:tcW w:w="1944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E2CF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唯一人物基准</w:t>
            </w:r>
          </w:p>
        </w:tc>
        <w:tc>
          <w:tcPr>
            <w:tcW w:type="dxa" w:w="4824"/>
            <w:tcW w:w="6983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9"/>
                <w:lang w:val="zh-CN" w:eastAsia="zh-CN"/>
              </w:rPr>
              <w:t>assets/about-portrait-light.png</w:t>
            </w:r>
          </w:p>
        </w:tc>
      </w:tr>
      <w:tr>
        <w:tc>
          <w:tcPr>
            <w:tcW w:type="dxa" w:w="4824"/>
            <w:tcW w:w="1944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E2CF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结构</w:t>
            </w:r>
          </w:p>
        </w:tc>
        <w:tc>
          <w:tcPr>
            <w:tcW w:type="dxa" w:w="4824"/>
            <w:tcW w:w="6983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9"/>
                <w:lang w:val="zh-CN" w:eastAsia="zh-CN"/>
              </w:rPr>
              <w:t>Idle 待机循环 + Peaceful 和平循环</w:t>
            </w:r>
          </w:p>
        </w:tc>
      </w:tr>
      <w:tr>
        <w:tc>
          <w:tcPr>
            <w:tcW w:type="dxa" w:w="4824"/>
            <w:tcW w:w="1944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E2CF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建议时长</w:t>
            </w:r>
          </w:p>
        </w:tc>
        <w:tc>
          <w:tcPr>
            <w:tcW w:type="dxa" w:w="4824"/>
            <w:tcW w:w="6983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9"/>
                <w:lang w:val="zh-CN" w:eastAsia="zh-CN"/>
              </w:rPr>
              <w:t>每段 5–7 秒，独立无缝循环</w:t>
            </w:r>
          </w:p>
        </w:tc>
      </w:tr>
    </w:tbl>
    <w:p>
      <w:r>
        <w:br w:type="page"/>
      </w:r>
    </w:p>
    <w:p>
      <w:pPr>
        <w:pStyle w:val="Heading1"/>
      </w:pPr>
      <w:r>
        <w:t>1. 创作目标与视觉基准</w:t>
      </w:r>
    </w:p>
    <w:p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这不是“前后两张不同人物的动画”，而是同一幅肖像在两个情绪状态中的连续生命感。点击前安静、疏离、带星盘仪式感；点击后进入温暖但克制的和平状态。人物脸、发型、服装、姿态、镜头和背景结构必须锁死，网页切换时只让光、鸽子、藤蔓与环境状态发生变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C6AF91"/>
          <w:left w:val="single" w:sz="6" w:space="0" w:color="C6AF91"/>
          <w:bottom w:val="single" w:sz="6" w:space="0" w:color="C6AF91"/>
          <w:right w:val="single" w:sz="6" w:space="0" w:color="C6AF91"/>
          <w:insideH w:val="single" w:sz="6" w:space="0" w:color="C6AF91"/>
          <w:insideV w:val="single" w:sz="6" w:space="0" w:color="C6AF91"/>
        </w:tblBorders>
      </w:tblPr>
      <w:tblGrid>
        <w:gridCol w:w="9360"/>
      </w:tblGrid>
      <w:tr>
        <w:tc>
          <w:tcPr>
            <w:tcW w:type="dxa" w:w="9648"/>
            <w:tcW w:w="936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3EBDD"/>
          </w:tcPr>
          <w:p>
            <w:pPr>
              <w:spacing w:after="6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核心原则</w:t>
              <w:br/>
            </w: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20"/>
                <w:lang w:val="zh-CN" w:eastAsia="zh-CN"/>
              </w:rPr>
              <w:t>人物一致性高于动作复杂度。宁可减少手臂和身体形变，也不能让金发男生变脸、换装、改变年龄或变成其他角色。</w:t>
            </w:r>
          </w:p>
        </w:tc>
      </w:tr>
    </w:tbl>
    <w:p>
      <w:pPr>
        <w:spacing w:after="0"/>
      </w:pPr>
    </w:p>
    <w:p>
      <w:pPr>
        <w:pStyle w:val="Heading1"/>
      </w:pPr>
      <w:r>
        <w:t>2. 两段素材必须共享的锁定条件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以 about-portrait-light.png 为唯一首帧和人物参考；保持 3:4 构图、人物大小、肩线、手部位置、星座盘和立柱位置完全一致。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人物始终是同一位金发男性，不生成女性、不替换角色、不改变肤色、发色、脸型、服装或饰品。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相机绝对固定，不推拉、不摇移、不改变焦距；两段视频第一帧画面必须能够像素级叠放。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人物的持续动作仅限轻微呼吸、眨眼、发丝和衣摆浮动；幅度保持克制。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星座盘始终极慢旋转，背景星光稀疏明灭；两段切换时旋转方向和速度不能变化。</w:t>
      </w:r>
    </w:p>
    <w:p>
      <w:pPr>
        <w:pStyle w:val="Heading1"/>
      </w:pPr>
      <w:r>
        <w:t>3. 素材 A：点击前 Idle 待机循环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C6AF91"/>
          <w:left w:val="single" w:sz="6" w:space="0" w:color="C6AF91"/>
          <w:bottom w:val="single" w:sz="6" w:space="0" w:color="C6AF91"/>
          <w:right w:val="single" w:sz="6" w:space="0" w:color="C6AF91"/>
          <w:insideH w:val="single" w:sz="6" w:space="0" w:color="C6AF91"/>
          <w:insideV w:val="single" w:sz="6" w:space="0" w:color="C6AF91"/>
        </w:tblBorders>
        <w:tblW w:w="9360" w:type="dxa"/>
        <w:tblInd w:w="120" w:type="dxa"/>
      </w:tblPr>
      <w:tblGrid>
        <w:gridCol w:w="1584"/>
        <w:gridCol w:w="7776"/>
      </w:tblGrid>
      <w:tr>
        <w:trPr>
          <w:tblHeader w:val="true"/>
        </w:trPr>
        <w:tc>
          <w:tcPr>
            <w:tcW w:type="dxa" w:w="4824"/>
            <w:tcW w:w="1584" w:type="dxa"/>
            <w:tcMar>
              <w:top w:w="100" w:type="dxa"/>
              <w:start w:w="140" w:type="dxa"/>
              <w:bottom w:w="100" w:type="dxa"/>
              <w:end w:w="140" w:type="dxa"/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E2CF"/>
            <w:tcW w:w="1584" w:type="dxa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时间</w:t>
            </w:r>
          </w:p>
        </w:tc>
        <w:tc>
          <w:tcPr>
            <w:tcW w:type="dxa" w:w="4824"/>
            <w:tcW w:w="7776" w:type="dxa"/>
            <w:tcMar>
              <w:top w:w="100" w:type="dxa"/>
              <w:start w:w="140" w:type="dxa"/>
              <w:bottom w:w="100" w:type="dxa"/>
              <w:end w:w="140" w:type="dxa"/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E2CF"/>
            <w:tcW w:w="7776" w:type="dxa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动作编排</w:t>
            </w:r>
          </w:p>
        </w:tc>
      </w:tr>
      <w:tr>
        <w:tc>
          <w:tcPr>
            <w:tcW w:type="dxa" w:w="1584"/>
            <w:tcW w:w="1584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0.0–1.2s</w:t>
            </w:r>
          </w:p>
        </w:tc>
        <w:tc>
          <w:tcPr>
            <w:tcW w:type="dxa" w:w="7776"/>
            <w:tcW w:w="7776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人物保持原姿态，胸腔和肩线有几乎不可察觉的呼吸；星盘慢转。</w:t>
            </w:r>
          </w:p>
        </w:tc>
      </w:tr>
      <w:tr>
        <w:tc>
          <w:tcPr>
            <w:tcW w:type="dxa" w:w="1584"/>
            <w:tcW w:w="1584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1.2–2.5s</w:t>
            </w:r>
          </w:p>
        </w:tc>
        <w:tc>
          <w:tcPr>
            <w:tcW w:type="dxa" w:w="7776"/>
            <w:tcW w:w="7776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一次自然眨眼，前额和耳侧少量发丝被微风带动。</w:t>
            </w:r>
          </w:p>
        </w:tc>
      </w:tr>
      <w:tr>
        <w:tc>
          <w:tcPr>
            <w:tcW w:type="dxa" w:w="1584"/>
            <w:tcW w:w="1584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2.5–4.5s</w:t>
            </w:r>
          </w:p>
        </w:tc>
        <w:tc>
          <w:tcPr>
            <w:tcW w:type="dxa" w:w="7776"/>
            <w:tcW w:w="7776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衣摆、耳饰和胸针产生轻微延迟摆动；背景一两颗星点明灭。</w:t>
            </w:r>
          </w:p>
        </w:tc>
      </w:tr>
      <w:tr>
        <w:tc>
          <w:tcPr>
            <w:tcW w:type="dxa" w:w="1584"/>
            <w:tcW w:w="1584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4.5–6.0s</w:t>
            </w:r>
          </w:p>
        </w:tc>
        <w:tc>
          <w:tcPr>
            <w:tcW w:type="dxa" w:w="7776"/>
            <w:tcW w:w="7776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动作回到接近首帧的呼吸相位，形成循环。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C6AF91"/>
          <w:left w:val="single" w:sz="6" w:space="0" w:color="C6AF91"/>
          <w:bottom w:val="single" w:sz="6" w:space="0" w:color="C6AF91"/>
          <w:right w:val="single" w:sz="6" w:space="0" w:color="C6AF91"/>
          <w:insideH w:val="single" w:sz="6" w:space="0" w:color="C6AF91"/>
          <w:insideV w:val="single" w:sz="6" w:space="0" w:color="C6AF91"/>
        </w:tblBorders>
      </w:tblPr>
      <w:tblGrid>
        <w:gridCol w:w="9360"/>
      </w:tblGrid>
      <w:tr>
        <w:tc>
          <w:tcPr>
            <w:tcW w:type="dxa" w:w="9648"/>
            <w:tcW w:w="936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3EBDD"/>
          </w:tcPr>
          <w:p>
            <w:pPr>
              <w:spacing w:after="6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Idle 主提示词</w:t>
              <w:br/>
            </w: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20"/>
                <w:lang w:val="zh-CN" w:eastAsia="zh-CN"/>
              </w:rPr>
              <w:t>以提供的 about-portrait-light.png 为唯一人物、构图和配色参考，制作一段 5–7 秒的 3:4 肖像待机循环视频。保持同一位金发年轻男性的脸、发型、服装、首饰、手势、身体比例和画面位置完全不变；保持十二星座盘、左右立柱、背景星空和所有装饰位置固定。相机完全静止。人物仅有极轻微、真实、连续的呼吸，肩部和胸腔小幅起伏；在自然的不规则时点眨眼一次；少量金色发丝、衣摆、耳饰、胸针和手部饰品因柔和空气流动产生细小延迟摆动。十二星座盘以极慢速度稳定旋转，稀疏星光低频明灭，不出现密集粒子。整体色调保持参考图的雾蓝、象牙白与古金色，安静、优雅、神圣但克制。首尾呼吸相位、发丝位置、星盘角度和整体亮度尽量一致，形成无明显跳点的无缝循环。</w:t>
            </w:r>
          </w:p>
        </w:tc>
      </w:tr>
    </w:tbl>
    <w:p>
      <w:pPr>
        <w:spacing w:after="0"/>
      </w:pPr>
    </w:p>
    <w:p>
      <w:pPr>
        <w:pStyle w:val="Heading1"/>
      </w:pPr>
      <w:r>
        <w:t>4. 素材 B：点击后 Peaceful 和平循环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C6AF91"/>
          <w:left w:val="single" w:sz="6" w:space="0" w:color="C6AF91"/>
          <w:bottom w:val="single" w:sz="6" w:space="0" w:color="C6AF91"/>
          <w:right w:val="single" w:sz="6" w:space="0" w:color="C6AF91"/>
          <w:insideH w:val="single" w:sz="6" w:space="0" w:color="C6AF91"/>
          <w:insideV w:val="single" w:sz="6" w:space="0" w:color="C6AF91"/>
        </w:tblBorders>
        <w:tblW w:w="9360" w:type="dxa"/>
        <w:tblInd w:w="120" w:type="dxa"/>
      </w:tblPr>
      <w:tblGrid>
        <w:gridCol w:w="1584"/>
        <w:gridCol w:w="7776"/>
      </w:tblGrid>
      <w:tr>
        <w:trPr>
          <w:tblHeader w:val="true"/>
        </w:trPr>
        <w:tc>
          <w:tcPr>
            <w:tcW w:type="dxa" w:w="4824"/>
            <w:tcW w:w="1584" w:type="dxa"/>
            <w:tcMar>
              <w:top w:w="100" w:type="dxa"/>
              <w:start w:w="140" w:type="dxa"/>
              <w:bottom w:w="100" w:type="dxa"/>
              <w:end w:w="140" w:type="dxa"/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E2CF"/>
            <w:tcW w:w="1584" w:type="dxa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时间</w:t>
            </w:r>
          </w:p>
        </w:tc>
        <w:tc>
          <w:tcPr>
            <w:tcW w:type="dxa" w:w="4824"/>
            <w:tcW w:w="7776" w:type="dxa"/>
            <w:tcMar>
              <w:top w:w="100" w:type="dxa"/>
              <w:start w:w="140" w:type="dxa"/>
              <w:bottom w:w="100" w:type="dxa"/>
              <w:end w:w="140" w:type="dxa"/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E2CF"/>
            <w:tcW w:w="7776" w:type="dxa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动作编排</w:t>
            </w:r>
          </w:p>
        </w:tc>
      </w:tr>
      <w:tr>
        <w:tc>
          <w:tcPr>
            <w:tcW w:type="dxa" w:w="1584"/>
            <w:tcW w:w="1584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0.0–1.0s</w:t>
            </w:r>
          </w:p>
        </w:tc>
        <w:tc>
          <w:tcPr>
            <w:tcW w:type="dxa" w:w="7776"/>
            <w:tcW w:w="7776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与 Idle 首帧完全对齐；人物已处于温暖和平状态，头后保留极淡光环。</w:t>
            </w:r>
          </w:p>
        </w:tc>
      </w:tr>
      <w:tr>
        <w:tc>
          <w:tcPr>
            <w:tcW w:type="dxa" w:w="1584"/>
            <w:tcW w:w="1584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1.0–2.5s</w:t>
            </w:r>
          </w:p>
        </w:tc>
        <w:tc>
          <w:tcPr>
            <w:tcW w:type="dxa" w:w="7776"/>
            <w:tcW w:w="7776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和平鸽停在原有手指位置，羽毛随呼吸微动；人物视线轻柔落向鸽子。</w:t>
            </w:r>
          </w:p>
        </w:tc>
      </w:tr>
      <w:tr>
        <w:tc>
          <w:tcPr>
            <w:tcW w:type="dxa" w:w="1584"/>
            <w:tcW w:w="1584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2.5–4.5s</w:t>
            </w:r>
          </w:p>
        </w:tc>
        <w:tc>
          <w:tcPr>
            <w:tcW w:type="dxa" w:w="7776"/>
            <w:tcW w:w="7776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柱体两侧藤蔓和花朵保持已生长状态，仅叶片和花瓣轻微活动。</w:t>
            </w:r>
          </w:p>
        </w:tc>
      </w:tr>
      <w:tr>
        <w:tc>
          <w:tcPr>
            <w:tcW w:type="dxa" w:w="1584"/>
            <w:tcW w:w="1584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4.5–6.0s</w:t>
            </w:r>
          </w:p>
        </w:tc>
        <w:tc>
          <w:tcPr>
            <w:tcW w:type="dxa" w:w="7776"/>
            <w:tcW w:w="7776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人物、鸽子、叶片和光环回到可循环的呼吸相位。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C6AF91"/>
          <w:left w:val="single" w:sz="6" w:space="0" w:color="C6AF91"/>
          <w:bottom w:val="single" w:sz="6" w:space="0" w:color="C6AF91"/>
          <w:right w:val="single" w:sz="6" w:space="0" w:color="C6AF91"/>
          <w:insideH w:val="single" w:sz="6" w:space="0" w:color="C6AF91"/>
          <w:insideV w:val="single" w:sz="6" w:space="0" w:color="C6AF91"/>
        </w:tblBorders>
      </w:tblPr>
      <w:tblGrid>
        <w:gridCol w:w="9360"/>
      </w:tblGrid>
      <w:tr>
        <w:tc>
          <w:tcPr>
            <w:tcW w:type="dxa" w:w="9648"/>
            <w:tcW w:w="936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3EBDD"/>
          </w:tcPr>
          <w:p>
            <w:pPr>
              <w:spacing w:after="6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Peaceful 主提示词</w:t>
              <w:br/>
            </w: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20"/>
                <w:lang w:val="zh-CN" w:eastAsia="zh-CN"/>
              </w:rPr>
              <w:t>以提供的 about-portrait-light.png 为唯一人物身份、姿态、构图与色彩参考，制作一段 5–7 秒的 3:4 和平状态循环视频。画面中必须仍是同一位金发年轻男性，脸部、发型、服装、首饰、手势、身体比例、人物位置、十二星座盘和立柱位置与参考图完全一致，相机绝对固定。人物头部后方保留一圈极淡、柔和的香槟浅金光环，整体暖光只比待机状态略强，不能洗白皮肤和浅色服装。和平鸽安静停在原有手指位置，羽毛与胸腔有细小呼吸感；人物视线轻柔看向鸽子，手指有极轻承重反应但不改变原姿态。两侧立柱上的藤蔓和花朵已经生长完成，叶片、花瓣与细枝随空气缓慢活动。人物持续轻微呼吸，金发、衣摆、耳饰、胸针和手部饰品有自然延迟摆动；十二星座盘继续以与待机视频相同的速度和方向极慢旋转；背景星光稀疏明灭。整体神圣但克制，主色为雾蓝、象牙白、古金与少量柔和植物绿。首尾人物呼吸、鸽子姿态、藤蔓位置、星盘角度和光照强度尽量一致，形成无明显跳点的无缝循环。</w:t>
            </w:r>
          </w:p>
        </w:tc>
      </w:tr>
    </w:tbl>
    <w:p>
      <w:pPr>
        <w:spacing w:after="0"/>
      </w:pPr>
    </w:p>
    <w:p>
      <w:pPr>
        <w:pStyle w:val="Heading1"/>
      </w:pPr>
      <w:r>
        <w:t>5. 可选的进入转场参考（不作为必交素材）</w:t>
      </w:r>
    </w:p>
    <w:p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如果视频工具支持首尾帧或状态转化，可另外生成一段约 5–6 秒的进入转场；网页第一阶段仍以双循环视频为主，转场不稳定时可直接使用柔和交叉淡化。</w:t>
      </w:r>
    </w:p>
    <w:p>
      <w:pPr>
        <w:pStyle w:val="ListNumber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0–0.4s：环境亮度轻微收敛，按钮响应。</w:t>
      </w:r>
    </w:p>
    <w:p>
      <w:pPr>
        <w:pStyle w:val="ListNumber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0.3–2.2s：人物头后光环浮现，宽阔羽化浅金光从左上缓慢扫向右下。</w:t>
      </w:r>
    </w:p>
    <w:p>
      <w:pPr>
        <w:pStyle w:val="ListNumber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1.4–3.8s：人物视线寻找和平鸽，鸽子靠近并落到手指。</w:t>
      </w:r>
    </w:p>
    <w:p>
      <w:pPr>
        <w:pStyle w:val="ListNumber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3.6–5.8s：藤蔓沿立柱生长，花朵错落绽放，暖光稳定。</w:t>
      </w:r>
    </w:p>
    <w:p>
      <w:pPr>
        <w:pStyle w:val="Heading1"/>
      </w:pPr>
      <w:r>
        <w:t>6. 负面提示词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C6AF91"/>
          <w:left w:val="single" w:sz="6" w:space="0" w:color="C6AF91"/>
          <w:bottom w:val="single" w:sz="6" w:space="0" w:color="C6AF91"/>
          <w:right w:val="single" w:sz="6" w:space="0" w:color="C6AF91"/>
          <w:insideH w:val="single" w:sz="6" w:space="0" w:color="C6AF91"/>
          <w:insideV w:val="single" w:sz="6" w:space="0" w:color="C6AF91"/>
        </w:tblBorders>
      </w:tblPr>
      <w:tblGrid>
        <w:gridCol w:w="9360"/>
      </w:tblGrid>
      <w:tr>
        <w:tc>
          <w:tcPr>
            <w:tcW w:type="dxa" w:w="9648"/>
            <w:tcW w:w="936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3EBDD"/>
          </w:tcPr>
          <w:p>
            <w:pPr>
              <w:spacing w:after="6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负面提示词</w:t>
              <w:br/>
            </w: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20"/>
                <w:lang w:val="zh-CN" w:eastAsia="zh-CN"/>
              </w:rPr>
              <w:t>女性人物、其他男性、角色替换、变脸、发色变化、年龄变化、服装变化、姿态重构、身体漂移、脸部融化、五官闪烁、手指畸形、多余手臂、和平鸽数量变化、鸽子穿模、藤蔓遮挡脸部、花朵爆发式生长、相机移动、画面缩放、背景重置、星盘速度变化、密集粒子、流星雨、纯白闪屏、锐利光束、彩色镜头光斑、霓虹、彩虹光、强烈过曝、文字、字幕、水印、Logo、首尾跳帧。</w:t>
            </w:r>
          </w:p>
        </w:tc>
      </w:tr>
    </w:tbl>
    <w:p>
      <w:pPr>
        <w:spacing w:after="0"/>
      </w:pPr>
    </w:p>
    <w:p>
      <w:pPr>
        <w:pStyle w:val="Heading1"/>
      </w:pPr>
      <w:r>
        <w:t>7. 两段视频的对齐与循环要求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两段视频必须使用相同分辨率、帧率、时长、首帧构图和镜头参数。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人物眼睛、鼻尖、肩部、双手、星盘中心和立柱边缘应能在剪辑软件中重叠检查。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两段首帧都从相近呼吸相位开始，切换时不能出现肩膀突然抬高或衣摆瞬移。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如星盘无法保持同角度循环，可降低旋转速度，确保每段首尾角度差低于肉眼可察觉程度。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不要把进入或退出完整剧情烘进循环视频；两段循环必须能独立长时间播放。</w:t>
      </w:r>
    </w:p>
    <w:p>
      <w:pPr>
        <w:pStyle w:val="Heading1"/>
      </w:pPr>
      <w:r>
        <w:t>8. 输出规格与文件命名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C6AF91"/>
          <w:left w:val="single" w:sz="6" w:space="0" w:color="C6AF91"/>
          <w:bottom w:val="single" w:sz="6" w:space="0" w:color="C6AF91"/>
          <w:right w:val="single" w:sz="6" w:space="0" w:color="C6AF91"/>
          <w:insideH w:val="single" w:sz="6" w:space="0" w:color="C6AF91"/>
          <w:insideV w:val="single" w:sz="6" w:space="0" w:color="C6AF91"/>
        </w:tblBorders>
        <w:tblW w:w="9360" w:type="dxa"/>
        <w:tblInd w:w="120" w:type="dxa"/>
      </w:tblPr>
      <w:tblGrid>
        <w:gridCol w:w="1800"/>
        <w:gridCol w:w="5328"/>
        <w:gridCol w:w="2232"/>
      </w:tblGrid>
      <w:tr>
        <w:trPr>
          <w:tblHeader w:val="true"/>
        </w:trPr>
        <w:tc>
          <w:tcPr>
            <w:tcW w:type="dxa" w:w="3216"/>
            <w:tcW w:w="1800" w:type="dxa"/>
            <w:tcMar>
              <w:top w:w="100" w:type="dxa"/>
              <w:start w:w="140" w:type="dxa"/>
              <w:bottom w:w="100" w:type="dxa"/>
              <w:end w:w="140" w:type="dxa"/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E2CF"/>
            <w:tcW w:w="1800" w:type="dxa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素材</w:t>
            </w:r>
          </w:p>
        </w:tc>
        <w:tc>
          <w:tcPr>
            <w:tcW w:type="dxa" w:w="3216"/>
            <w:tcW w:w="5328" w:type="dxa"/>
            <w:tcMar>
              <w:top w:w="100" w:type="dxa"/>
              <w:start w:w="140" w:type="dxa"/>
              <w:bottom w:w="100" w:type="dxa"/>
              <w:end w:w="140" w:type="dxa"/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E2CF"/>
            <w:tcW w:w="5328" w:type="dxa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母版要求</w:t>
            </w:r>
          </w:p>
        </w:tc>
        <w:tc>
          <w:tcPr>
            <w:tcW w:type="dxa" w:w="3216"/>
            <w:tcW w:w="2232" w:type="dxa"/>
            <w:tcMar>
              <w:top w:w="100" w:type="dxa"/>
              <w:start w:w="140" w:type="dxa"/>
              <w:bottom w:w="100" w:type="dxa"/>
              <w:end w:w="140" w:type="dxa"/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E2CF"/>
            <w:tcW w:w="2232" w:type="dxa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网页文件名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Idle 待机</w:t>
            </w:r>
          </w:p>
        </w:tc>
        <w:tc>
          <w:tcPr>
            <w:tcW w:type="dxa" w:w="5328"/>
            <w:tcW w:w="5328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1620×2160 或 1080×1440，24/25fps，5–7 秒，无音频。</w:t>
            </w:r>
          </w:p>
        </w:tc>
        <w:tc>
          <w:tcPr>
            <w:tcW w:type="dxa" w:w="2232"/>
            <w:tcW w:w="2232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peace-idle.mp4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Peaceful 和平</w:t>
            </w:r>
          </w:p>
        </w:tc>
        <w:tc>
          <w:tcPr>
            <w:tcW w:type="dxa" w:w="5328"/>
            <w:tcW w:w="5328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与 Idle 完全相同的尺寸、帧率和时长。</w:t>
            </w:r>
          </w:p>
        </w:tc>
        <w:tc>
          <w:tcPr>
            <w:tcW w:type="dxa" w:w="2232"/>
            <w:tcW w:w="2232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peace-peaceful.mp4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Safari 兼容</w:t>
            </w:r>
          </w:p>
        </w:tc>
        <w:tc>
          <w:tcPr>
            <w:tcW w:type="dxa" w:w="5328"/>
            <w:tcW w:w="5328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如使用透明通道，另备 HEVC Alpha；首版优先普通 MP4。</w:t>
            </w:r>
          </w:p>
        </w:tc>
        <w:tc>
          <w:tcPr>
            <w:tcW w:type="dxa" w:w="2232"/>
            <w:tcW w:w="2232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对应 .mov 兼容版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静态回退</w:t>
            </w:r>
          </w:p>
        </w:tc>
        <w:tc>
          <w:tcPr>
            <w:tcW w:type="dxa" w:w="5328"/>
            <w:tcW w:w="5328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各导出一张首帧 WebP 或 PNG。</w:t>
            </w:r>
          </w:p>
        </w:tc>
        <w:tc>
          <w:tcPr>
            <w:tcW w:type="dxa" w:w="2232"/>
            <w:tcW w:w="2232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peace-idle.webp / peace-peaceful.webp</w:t>
            </w:r>
          </w:p>
        </w:tc>
      </w:tr>
    </w:tbl>
    <w:p>
      <w:pPr>
        <w:pStyle w:val="Heading1"/>
      </w:pPr>
      <w:r>
        <w:t>9. 网页实现注意事项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按钮点击时预加载目标视频，待可播放后再做约 0.5–0.7 秒交叉淡化。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切换期间暂时忽略重复点击，结束后恢复按钮响应。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减少动态效果或加载失败时使用两张静态海报交叉淡化。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手机端可使用同一 3:4 素材降低码率，不改变人物主体位置。</w:t>
      </w:r>
    </w:p>
    <w:p>
      <w:pPr>
        <w:pStyle w:val="Heading1"/>
      </w:pPr>
      <w:r>
        <w:t>10. 验收清单</w:t>
      </w:r>
    </w:p>
    <w:p>
      <w:pPr>
        <w:spacing w:after="100"/>
      </w:pPr>
      <w:r>
        <w:rPr>
          <w:rFonts w:ascii="Alibaba PuHuiTi" w:hAnsi="Alibaba PuHuiTi" w:eastAsia="Arial Unicode MS" w:hint="eastAsia"/>
          <w:b w:val="0"/>
          <w:i w:val="0"/>
          <w:color w:val="88513A"/>
          <w:sz w:val="22"/>
          <w:lang w:val="zh-CN" w:eastAsia="zh-CN"/>
        </w:rPr>
        <w:t xml:space="preserve">☐  </w:t>
      </w: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两段视频均为同一位金发男生，人物身份没有任何漂移。</w:t>
      </w:r>
    </w:p>
    <w:p>
      <w:pPr>
        <w:spacing w:after="100"/>
      </w:pPr>
      <w:r>
        <w:rPr>
          <w:rFonts w:ascii="Alibaba PuHuiTi" w:hAnsi="Alibaba PuHuiTi" w:eastAsia="Arial Unicode MS" w:hint="eastAsia"/>
          <w:b w:val="0"/>
          <w:i w:val="0"/>
          <w:color w:val="88513A"/>
          <w:sz w:val="22"/>
          <w:lang w:val="zh-CN" w:eastAsia="zh-CN"/>
        </w:rPr>
        <w:t xml:space="preserve">☐  </w:t>
      </w: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叠放检查时脸、肩、手、星盘中心和立柱位置保持一致。</w:t>
      </w:r>
    </w:p>
    <w:p>
      <w:pPr>
        <w:spacing w:after="100"/>
      </w:pPr>
      <w:r>
        <w:rPr>
          <w:rFonts w:ascii="Alibaba PuHuiTi" w:hAnsi="Alibaba PuHuiTi" w:eastAsia="Arial Unicode MS" w:hint="eastAsia"/>
          <w:b w:val="0"/>
          <w:i w:val="0"/>
          <w:color w:val="88513A"/>
          <w:sz w:val="22"/>
          <w:lang w:val="zh-CN" w:eastAsia="zh-CN"/>
        </w:rPr>
        <w:t xml:space="preserve">☐  </w:t>
      </w: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人物呼吸、发丝和衣摆在循环点不跳动。</w:t>
      </w:r>
    </w:p>
    <w:p>
      <w:pPr>
        <w:spacing w:after="100"/>
      </w:pPr>
      <w:r>
        <w:rPr>
          <w:rFonts w:ascii="Alibaba PuHuiTi" w:hAnsi="Alibaba PuHuiTi" w:eastAsia="Arial Unicode MS" w:hint="eastAsia"/>
          <w:b w:val="0"/>
          <w:i w:val="0"/>
          <w:color w:val="88513A"/>
          <w:sz w:val="22"/>
          <w:lang w:val="zh-CN" w:eastAsia="zh-CN"/>
        </w:rPr>
        <w:t xml:space="preserve">☐  </w:t>
      </w: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和平状态的金光柔和克制，没有白闪和廉价光斑。</w:t>
      </w:r>
    </w:p>
    <w:p>
      <w:pPr>
        <w:spacing w:after="100"/>
      </w:pPr>
      <w:r>
        <w:rPr>
          <w:rFonts w:ascii="Alibaba PuHuiTi" w:hAnsi="Alibaba PuHuiTi" w:eastAsia="Arial Unicode MS" w:hint="eastAsia"/>
          <w:b w:val="0"/>
          <w:i w:val="0"/>
          <w:color w:val="88513A"/>
          <w:sz w:val="22"/>
          <w:lang w:val="zh-CN" w:eastAsia="zh-CN"/>
        </w:rPr>
        <w:t xml:space="preserve">☐  </w:t>
      </w: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和平鸽、藤蔓和花朵不遮挡人物脸部及关键饰品。</w:t>
      </w:r>
    </w:p>
    <w:p>
      <w:pPr>
        <w:spacing w:after="100"/>
      </w:pPr>
      <w:r>
        <w:rPr>
          <w:rFonts w:ascii="Alibaba PuHuiTi" w:hAnsi="Alibaba PuHuiTi" w:eastAsia="Arial Unicode MS" w:hint="eastAsia"/>
          <w:b w:val="0"/>
          <w:i w:val="0"/>
          <w:color w:val="88513A"/>
          <w:sz w:val="22"/>
          <w:lang w:val="zh-CN" w:eastAsia="zh-CN"/>
        </w:rPr>
        <w:t xml:space="preserve">☐  </w:t>
      </w: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网页压缩后画质、色彩和暗部细节仍然稳定。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123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libaba PuHuiTi" w:hAnsi="Alibaba PuHuiTi" w:eastAsia="Alibaba PuHuiTi" w:hint="eastAsia"/>
        <w:b w:val="0"/>
        <w:i w:val="0"/>
        <w:color w:val="6F665C"/>
        <w:sz w:val="16"/>
        <w:lang w:val="zh-CN" w:eastAsia="zh-CN"/>
      </w:rPr>
      <w:t xml:space="preserve">月桂之间  ·  视频制作提示词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4" w:space="4" w:color="C6AF91"/>
      </w:pBdr>
    </w:pPr>
    <w:r>
      <w:rPr>
        <w:rFonts w:ascii="Alibaba PuHuiTi" w:hAnsi="Alibaba PuHuiTi" w:eastAsia="Alibaba PuHuiTi" w:hint="eastAsia"/>
        <w:b w:val="0"/>
        <w:i w:val="0"/>
        <w:color w:val="6F665C"/>
        <w:sz w:val="16"/>
        <w:lang w:val="zh-CN" w:eastAsia="zh-CN"/>
      </w:rPr>
      <w:t>02 · 愿世界和平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libaba PuHuiTi" w:hAnsi="Alibaba PuHuiTi" w:eastAsia="Alibaba PuHuiTi"/>
      <w:color w:val="3429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libaba PuHuiTi" w:hAnsi="Alibaba PuHuiTi" w:eastAsia="Alibaba PuHuiTi"/>
      <w:b/>
      <w:bCs/>
      <w:color w:val="8851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libaba PuHuiTi" w:hAnsi="Alibaba PuHuiTi" w:eastAsia="Alibaba PuHuiTi"/>
      <w:b/>
      <w:bCs/>
      <w:color w:val="88513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libaba PuHuiTi" w:hAnsi="Alibaba PuHuiTi" w:eastAsia="Alibaba PuHuiTi"/>
      <w:b/>
      <w:bCs/>
      <w:color w:val="3429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libaba PuHuiTi" w:hAnsi="Alibaba PuHuiTi" w:eastAsia="Alibaba PuHuiTi"/>
      <w:b w:val="0"/>
      <w:i/>
      <w:iCs/>
      <w:color w:val="6F665C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540" w:hanging="271"/>
      <w:contextualSpacing/>
    </w:pPr>
    <w:rPr>
      <w:rFonts w:ascii="Alibaba PuHuiTi" w:hAnsi="Alibaba PuHuiTi" w:eastAsia="Alibaba PuHuiTi"/>
      <w:color w:val="34291F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ind w:left="540" w:hanging="271"/>
      <w:contextualSpacing/>
    </w:pPr>
    <w:rPr>
      <w:rFonts w:ascii="Alibaba PuHuiTi" w:hAnsi="Alibaba PuHuiTi" w:eastAsia="Alibaba PuHuiTi"/>
      <w:color w:val="34291F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