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0"/>
          <w:highlight w:val="none"/>
        </w:rPr>
      </w:pPr>
      <w:r>
        <w:rPr>
          <w:sz w:val="40"/>
        </w:rPr>
        <w:t xml:space="preserve">Пояснительная записка</w:t>
      </w:r>
      <w:r>
        <w:rPr>
          <w:sz w:val="40"/>
        </w:rPr>
      </w:r>
    </w:p>
    <w:p>
      <w:pPr>
        <w:jc w:val="left"/>
        <w:rPr>
          <w:sz w:val="28"/>
        </w:rPr>
      </w:pPr>
      <w:r>
        <w:rPr>
          <w:sz w:val="28"/>
          <w:highlight w:val="none"/>
        </w:rPr>
        <w:t xml:space="preserve">Чтобы начать работу с ботом введем /start, если мы не понимаем как нужно обращаться с ботом, то всегда можно написать /help и материал о работе с ботом выведется на экран. В главном меню есть три варианта тестов. Мы можем выбрать один из них, а далее выбрать сам тест, который мы будем проходить или вернуться в главное меню. При прохождении тестов нужно пользоваться правилами теста(если они есть). Если вы хотите прекратить текущий диалог и вернуться в главное меню, то напишите /stop.</w:t>
      </w:r>
      <w:r>
        <w:rPr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Георгий Алексеевич Сагдетдинов</cp:lastModifiedBy>
  <cp:revision>1</cp:revision>
  <dcterms:modified xsi:type="dcterms:W3CDTF">2022-05-10T20:58:16Z</dcterms:modified>
</cp:coreProperties>
</file>