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Hospital Readmission Analytics Solution Guide</w:t>
      </w:r>
    </w:p>
    <w:p>
      <w:r>
        <w:t>Omkar Mahabdi | Completed analysis of HA Data(1).csv | 9 September 2026</w:t>
      </w:r>
    </w:p>
    <w:p>
      <w:r>
        <w:t>This guide answers all 25 Basic, Medium and Advanced questions in the hospital administration case study. It includes verified results, statistical comparisons, an evaluated prediction model, patient segmentation and a proposed follow-up program. Unsupported questions are answered with the precise data limitation and a feasible analysis specification.</w:t>
      </w:r>
    </w:p>
    <w:p>
      <w:pPr>
        <w:pStyle w:val="Heading1"/>
      </w:pPr>
      <w:r>
        <w:t>The outcome definition needed correction</w:t>
      </w:r>
    </w:p>
    <w:p>
      <w:r>
        <w:t>The assignment dictionary states that readmitted = 1 means a return within 30 days. Exact matching of all 48,911 cleaned encounter IDs and patient IDs to the original UCI records disproves that definition: the uploaded flag combines early and later readmissions. The correct early-readmission rate is 11.20%; 46.22% is the rate of any recorded readmission. Using the uploaded flag as a 30-day outcome would give an incorrect answer to the central question. [1, 2]</w:t>
      </w:r>
    </w:p>
    <w:tbl>
      <w:tblPr>
        <w:tblW w:type="auto" w:w="0"/>
        <w:jc w:val="center"/>
        <w:tblLayout w:type="fixed"/>
        <w:tblLook w:firstColumn="1" w:firstRow="1" w:lastColumn="0" w:lastRow="0" w:noHBand="0" w:noVBand="1" w:val="04A0"/>
      </w:tblPr>
      <w:tblGrid>
        <w:gridCol w:w="4608"/>
        <w:gridCol w:w="2016"/>
        <w:gridCol w:w="3312"/>
      </w:tblGrid>
      <w:tr>
        <w:trPr>
          <w:tblHeader/>
          <w:cantSplit/>
        </w:trPr>
        <w:tc>
          <w:tcPr>
            <w:tcW w:type="dxa" w:w="460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Original source outcome</w:t>
            </w:r>
          </w:p>
        </w:tc>
        <w:tc>
          <w:tcPr>
            <w:tcW w:type="dxa" w:w="201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Uploaded flag</w:t>
            </w:r>
          </w:p>
        </w:tc>
        <w:tc>
          <w:tcPr>
            <w:tcW w:type="dxa" w:w="331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Distinct encounters</w:t>
            </w:r>
          </w:p>
        </w:tc>
      </w:tr>
      <w:tr>
        <w:trPr>
          <w:cantSplit/>
        </w:trPr>
        <w:tc>
          <w:tcPr>
            <w:tcW w:type="dxa" w:w="460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&lt;30 days</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w:t>
            </w:r>
          </w:p>
        </w:tc>
        <w:tc>
          <w:tcPr>
            <w:tcW w:type="dxa" w:w="331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5479</w:t>
            </w:r>
          </w:p>
        </w:tc>
      </w:tr>
      <w:tr>
        <w:trPr>
          <w:cantSplit/>
        </w:trPr>
        <w:tc>
          <w:tcPr>
            <w:tcW w:type="dxa" w:w="46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&gt;30 days</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w:t>
            </w:r>
          </w:p>
        </w:tc>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17130</w:t>
            </w:r>
          </w:p>
        </w:tc>
      </w:tr>
      <w:tr>
        <w:trPr>
          <w:cantSplit/>
        </w:trPr>
        <w:tc>
          <w:tcPr>
            <w:tcW w:type="dxa" w:w="460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NO</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w:t>
            </w:r>
          </w:p>
        </w:tc>
        <w:tc>
          <w:tcPr>
            <w:tcW w:type="dxa" w:w="331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26302</w:t>
            </w:r>
          </w:p>
        </w:tc>
      </w:tr>
    </w:tbl>
    <w:p>
      <w:pPr>
        <w:spacing w:after="0"/>
      </w:pPr>
    </w:p>
    <w:p>
      <w:r>
        <w:t>All question-specific rates and models below use early_readmitted = 1 when the matched original readmitted value is &lt;30, and 0 otherwise. The original uploaded file is not overwritten. Source matching enriches the supplied encounter set; it does not add encounters or import the absent satisfaction, cost or discharge fields. The CSV label_provenance_check.csv records the full cross-tabulation.</w:t>
      </w:r>
    </w:p>
    <w:p>
      <w:pPr>
        <w:pStyle w:val="Heading1"/>
      </w:pPr>
      <w:r>
        <w:t>Data preparation and analytical scope</w:t>
      </w:r>
    </w:p>
    <w:tbl>
      <w:tblPr>
        <w:tblW w:type="auto" w:w="0"/>
        <w:jc w:val="center"/>
        <w:tblLayout w:type="fixed"/>
        <w:tblLook w:firstColumn="1" w:firstRow="1" w:lastColumn="0" w:lastRow="0" w:noHBand="0" w:noVBand="1" w:val="04A0"/>
      </w:tblPr>
      <w:tblGrid>
        <w:gridCol w:w="6480"/>
        <w:gridCol w:w="3456"/>
      </w:tblGrid>
      <w:tr>
        <w:trPr>
          <w:tblHeader/>
          <w:cantSplit/>
        </w:trPr>
        <w:tc>
          <w:tcPr>
            <w:tcW w:type="dxa" w:w="648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Audit item</w:t>
            </w:r>
          </w:p>
        </w:tc>
        <w:tc>
          <w:tcPr>
            <w:tcW w:type="dxa" w:w="345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Result</w:t>
            </w:r>
          </w:p>
        </w:tc>
      </w:tr>
      <w:tr>
        <w:trPr>
          <w:cantSplit/>
        </w:trPr>
        <w:tc>
          <w:tcPr>
            <w:tcW w:type="dxa" w:w="648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Uploaded records</w:t>
            </w:r>
          </w:p>
        </w:tc>
        <w:tc>
          <w:tcPr>
            <w:tcW w:type="dxa" w:w="345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66,587</w:t>
            </w:r>
          </w:p>
        </w:tc>
      </w:tr>
      <w:tr>
        <w:trPr>
          <w:cantSplit/>
        </w:trPr>
        <w:tc>
          <w:tcPr>
            <w:tcW w:type="dxa" w:w="64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Columns</w:t>
            </w:r>
          </w:p>
        </w:tc>
        <w:tc>
          <w:tcPr>
            <w:tcW w:type="dxa" w:w="34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49</w:t>
            </w:r>
          </w:p>
        </w:tc>
      </w:tr>
      <w:tr>
        <w:trPr>
          <w:cantSplit/>
        </w:trPr>
        <w:tc>
          <w:tcPr>
            <w:tcW w:type="dxa" w:w="648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Repeated encounter copies removed</w:t>
            </w:r>
          </w:p>
        </w:tc>
        <w:tc>
          <w:tcPr>
            <w:tcW w:type="dxa" w:w="345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17,676</w:t>
            </w:r>
          </w:p>
        </w:tc>
      </w:tr>
      <w:tr>
        <w:trPr>
          <w:cantSplit/>
        </w:trPr>
        <w:tc>
          <w:tcPr>
            <w:tcW w:type="dxa" w:w="64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Distinct encounters analysed</w:t>
            </w:r>
          </w:p>
        </w:tc>
        <w:tc>
          <w:tcPr>
            <w:tcW w:type="dxa" w:w="34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48,911</w:t>
            </w:r>
          </w:p>
        </w:tc>
      </w:tr>
      <w:tr>
        <w:trPr>
          <w:cantSplit/>
        </w:trPr>
        <w:tc>
          <w:tcPr>
            <w:tcW w:type="dxa" w:w="648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Distinct patients</w:t>
            </w:r>
          </w:p>
        </w:tc>
        <w:tc>
          <w:tcPr>
            <w:tcW w:type="dxa" w:w="345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39,650</w:t>
            </w:r>
          </w:p>
        </w:tc>
      </w:tr>
      <w:tr>
        <w:trPr>
          <w:cantSplit/>
        </w:trPr>
        <w:tc>
          <w:tcPr>
            <w:tcW w:type="dxa" w:w="64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Early-readmitted encounters</w:t>
            </w:r>
          </w:p>
        </w:tc>
        <w:tc>
          <w:tcPr>
            <w:tcW w:type="dxa" w:w="34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5,479</w:t>
            </w:r>
          </w:p>
        </w:tc>
      </w:tr>
      <w:tr>
        <w:trPr>
          <w:cantSplit/>
        </w:trPr>
        <w:tc>
          <w:tcPr>
            <w:tcW w:type="dxa" w:w="648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Mean / median stay</w:t>
            </w:r>
          </w:p>
        </w:tc>
        <w:tc>
          <w:tcPr>
            <w:tcW w:type="dxa" w:w="345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4.40 / 4 days</w:t>
            </w:r>
          </w:p>
        </w:tc>
      </w:tr>
    </w:tbl>
    <w:p>
      <w:pPr>
        <w:spacing w:after="0"/>
      </w:pPr>
    </w:p>
    <w:p>
      <w:r>
        <w:t>Duplicates were tested across every supplied field except the export index. After their removal, encounter_id is unique with no conflicting encounter records. Distinct encounters belonging to the same patient remain valid observations. Patient-level clustering in inferential tests and patient-disjoint model partitions account for repeat visits; patients are not treated as independent on each encounter.</w:t>
      </w:r>
    </w:p>
    <w:p>
      <w:r>
        <w:t>Question-mark and empty values are marked Unknown. Literal None in X variables is preserved as a recorded state. Ch in change is normalized to Yes. diag_4 exactly duplicates diag_3 and is excluded from predictors. diag_5 ranges from 0.000282625 to 99.99580989 with continuous values, contradicting its diagnosis-code description; it is excluded pending clarification. IDs and export index are not predictive features. Weight is not imputed from demographics.</w:t>
      </w:r>
    </w:p>
    <w:tbl>
      <w:tblPr>
        <w:tblW w:type="auto" w:w="0"/>
        <w:jc w:val="center"/>
        <w:tblLayout w:type="fixed"/>
        <w:tblLook w:firstColumn="1" w:firstRow="1" w:lastColumn="0" w:lastRow="0" w:noHBand="0" w:noVBand="1" w:val="04A0"/>
      </w:tblPr>
      <w:tblGrid>
        <w:gridCol w:w="4896"/>
        <w:gridCol w:w="2736"/>
        <w:gridCol w:w="2304"/>
      </w:tblGrid>
      <w:tr>
        <w:trPr>
          <w:tblHeader/>
          <w:cantSplit/>
        </w:trPr>
        <w:tc>
          <w:tcPr>
            <w:tcW w:type="dxa" w:w="489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Field</w:t>
            </w:r>
          </w:p>
        </w:tc>
        <w:tc>
          <w:tcPr>
            <w:tcW w:type="dxa" w:w="273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Missing encounters</w:t>
            </w:r>
          </w:p>
        </w:tc>
        <w:tc>
          <w:tcPr>
            <w:tcW w:type="dxa" w:w="230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Missing share</w:t>
            </w:r>
          </w:p>
        </w:tc>
      </w:tr>
      <w:tr>
        <w:trPr>
          <w:cantSplit/>
        </w:trPr>
        <w:tc>
          <w:tcPr>
            <w:tcW w:type="dxa" w:w="48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w:t>
            </w:r>
          </w:p>
        </w:tc>
        <w:tc>
          <w:tcPr>
            <w:tcW w:type="dxa" w:w="27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1,114</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2.28%</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weight</w:t>
            </w:r>
          </w:p>
        </w:tc>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47,354</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96.82%</w:t>
            </w:r>
          </w:p>
        </w:tc>
      </w:tr>
      <w:tr>
        <w:trPr>
          <w:cantSplit/>
        </w:trPr>
        <w:tc>
          <w:tcPr>
            <w:tcW w:type="dxa" w:w="48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medical_specialty</w:t>
            </w:r>
          </w:p>
        </w:tc>
        <w:tc>
          <w:tcPr>
            <w:tcW w:type="dxa" w:w="27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23,983</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49.03%</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diag_1</w:t>
            </w:r>
          </w:p>
        </w:tc>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0.02%</w:t>
            </w:r>
          </w:p>
        </w:tc>
      </w:tr>
      <w:tr>
        <w:trPr>
          <w:cantSplit/>
        </w:trPr>
        <w:tc>
          <w:tcPr>
            <w:tcW w:type="dxa" w:w="48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diag_2</w:t>
            </w:r>
          </w:p>
        </w:tc>
        <w:tc>
          <w:tcPr>
            <w:tcW w:type="dxa" w:w="27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172</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0.35%</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diag_3</w:t>
            </w:r>
          </w:p>
        </w:tc>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685</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1.40%</w:t>
            </w:r>
          </w:p>
        </w:tc>
      </w:tr>
      <w:tr>
        <w:trPr>
          <w:cantSplit/>
        </w:trPr>
        <w:tc>
          <w:tcPr>
            <w:tcW w:type="dxa" w:w="48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diag_4</w:t>
            </w:r>
          </w:p>
        </w:tc>
        <w:tc>
          <w:tcPr>
            <w:tcW w:type="dxa" w:w="27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685</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1.40%</w:t>
            </w:r>
          </w:p>
        </w:tc>
      </w:tr>
    </w:tbl>
    <w:p>
      <w:pPr>
        <w:spacing w:after="0"/>
      </w:pPr>
    </w:p>
    <w:p>
      <w:r>
        <w:t>Unless explicitly identified as patient-level, rates use distinct encounters as the denominator: early-readmitted encounters divided by all encounters in the stated group. Patient counts and encounter counts must not be interchanged. Statistical associations are observational and unadjusted for clinical severity; they do not establish that a treatment or demographic attribute causes readmission. Two-sided tests use 5% significance. Regression standard errors are clustered by patient with a finite-sample correction; related demographic and medication test families use Benjamini-Hochberg false-discovery control. [3]</w:t>
      </w:r>
    </w:p>
    <w:p>
      <w:r>
        <w:drawing>
          <wp:inline xmlns:a="http://schemas.openxmlformats.org/drawingml/2006/main" xmlns:pic="http://schemas.openxmlformats.org/drawingml/2006/picture">
            <wp:extent cx="6263640" cy="2129638"/>
            <wp:docPr id="1" name="Picture 1"/>
            <wp:cNvGraphicFramePr>
              <a:graphicFrameLocks noChangeAspect="1"/>
            </wp:cNvGraphicFramePr>
            <a:graphic>
              <a:graphicData uri="http://schemas.openxmlformats.org/drawingml/2006/picture">
                <pic:pic>
                  <pic:nvPicPr>
                    <pic:cNvPr id="0" name="readmission_patterns.png"/>
                    <pic:cNvPicPr/>
                  </pic:nvPicPr>
                  <pic:blipFill>
                    <a:blip r:embed="rId10"/>
                    <a:stretch>
                      <a:fillRect/>
                    </a:stretch>
                  </pic:blipFill>
                  <pic:spPr>
                    <a:xfrm>
                      <a:off x="0" y="0"/>
                      <a:ext cx="6263640" cy="2129638"/>
                    </a:xfrm>
                    <a:prstGeom prst="rect"/>
                  </pic:spPr>
                </pic:pic>
              </a:graphicData>
            </a:graphic>
          </wp:inline>
        </w:drawing>
      </w:r>
    </w:p>
    <w:p>
      <w:r>
        <w:t>Figure 1. Corrected early-readmission outcome, deduplicated encounter denominators.</w:t>
      </w:r>
    </w:p>
    <w:p>
      <w:r>
        <w:br w:type="page"/>
      </w:r>
    </w:p>
    <w:p>
      <w:pPr>
        <w:pStyle w:val="Heading1"/>
      </w:pPr>
      <w:r>
        <w:t>Basic level answers</w:t>
      </w:r>
    </w:p>
    <w:p>
      <w:pPr>
        <w:pStyle w:val="Heading2"/>
      </w:pPr>
      <w:r>
        <w:t>B1 Readmission by age</w:t>
      </w:r>
    </w:p>
    <w:p>
      <w:r>
        <w:t>What is the distribution of readmission rates across different age groups?</w:t>
      </w:r>
    </w:p>
    <w:tbl>
      <w:tblPr>
        <w:tblW w:type="auto" w:w="0"/>
        <w:jc w:val="center"/>
        <w:tblLayout w:type="fixed"/>
        <w:tblLook w:firstColumn="1" w:firstRow="1" w:lastColumn="0" w:lastRow="0" w:noHBand="0" w:noVBand="1" w:val="04A0"/>
      </w:tblPr>
      <w:tblGrid>
        <w:gridCol w:w="3744"/>
        <w:gridCol w:w="1872"/>
        <w:gridCol w:w="2304"/>
        <w:gridCol w:w="2016"/>
      </w:tblGrid>
      <w:tr>
        <w:trPr>
          <w:tblHeader/>
          <w:cantSplit/>
        </w:trPr>
        <w:tc>
          <w:tcPr>
            <w:tcW w:type="dxa" w:w="374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age</w:t>
            </w:r>
          </w:p>
        </w:tc>
        <w:tc>
          <w:tcPr>
            <w:tcW w:type="dxa" w:w="187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Encounters</w:t>
            </w:r>
          </w:p>
        </w:tc>
        <w:tc>
          <w:tcPr>
            <w:tcW w:type="dxa" w:w="230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Early readmissions</w:t>
            </w:r>
          </w:p>
        </w:tc>
        <w:tc>
          <w:tcPr>
            <w:tcW w:type="dxa" w:w="201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Rate</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[0-10)</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77</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2.60%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[10-20)</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313</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20</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6.39%</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[20-30)</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817</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110</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13.46%</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[30-40)</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1,766</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190</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10.76%</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[40-50)</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4,619</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483</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10.46%</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[50-60)</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8,421</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820</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9.74%</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[60-70)</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10,964</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1,246</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11.36%</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[70-80)</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12,478</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1,473</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11.80%</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[80-90)</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8,103</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985</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12.16%</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[90-100)</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1,353</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150</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11.09%</w:t>
            </w:r>
          </w:p>
        </w:tc>
      </w:tr>
    </w:tbl>
    <w:p>
      <w:pPr>
        <w:spacing w:after="0"/>
      </w:pPr>
    </w:p>
    <w:p>
      <w:r>
        <w:t>The highest observed rate is 13.46% in [20-30) (n=817); the lowest is 2.60% in [0-10) (n=77). Compare group sizes before prioritizing an age band. These are recorded age intervals, not exact ages or independently measured biological risk.</w:t>
      </w:r>
    </w:p>
    <w:p>
      <w:pPr>
        <w:pStyle w:val="Heading2"/>
      </w:pPr>
      <w:r>
        <w:t>B2 Hospital stay by medical specialty</w:t>
      </w:r>
    </w:p>
    <w:p>
      <w:r>
        <w:t>Analyze the average length of hospital stays by medical specialty. Which specialties have the longest and shortest average stays?</w:t>
      </w:r>
    </w:p>
    <w:tbl>
      <w:tblPr>
        <w:tblW w:type="auto" w:w="0"/>
        <w:jc w:val="center"/>
        <w:tblLayout w:type="fixed"/>
        <w:tblLook w:firstColumn="1" w:firstRow="1" w:lastColumn="0" w:lastRow="0" w:noHBand="0" w:noVBand="1" w:val="04A0"/>
      </w:tblPr>
      <w:tblGrid>
        <w:gridCol w:w="2376"/>
        <w:gridCol w:w="4464"/>
        <w:gridCol w:w="1440"/>
        <w:gridCol w:w="1656"/>
      </w:tblGrid>
      <w:tr>
        <w:trPr>
          <w:tblHeader/>
          <w:cantSplit/>
        </w:trPr>
        <w:tc>
          <w:tcPr>
            <w:tcW w:type="dxa" w:w="237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Comparison</w:t>
            </w:r>
          </w:p>
        </w:tc>
        <w:tc>
          <w:tcPr>
            <w:tcW w:type="dxa" w:w="446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Specialty</w:t>
            </w:r>
          </w:p>
        </w:tc>
        <w:tc>
          <w:tcPr>
            <w:tcW w:type="dxa" w:w="144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Encounters</w:t>
            </w:r>
          </w:p>
        </w:tc>
        <w:tc>
          <w:tcPr>
            <w:tcW w:type="dxa" w:w="165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Mean days</w:t>
            </w:r>
          </w:p>
        </w:tc>
      </w:tr>
      <w:tr>
        <w:trPr>
          <w:cantSplit/>
        </w:trPr>
        <w:tc>
          <w:tcPr>
            <w:tcW w:type="dxa" w:w="237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Shortest overall</w:t>
            </w:r>
          </w:p>
        </w:tc>
        <w:tc>
          <w:tcPr>
            <w:tcW w:type="dxa" w:w="446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Pediatrics-EmergencyMedicine</w:t>
            </w:r>
          </w:p>
        </w:tc>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w:t>
            </w:r>
          </w:p>
        </w:tc>
        <w:tc>
          <w:tcPr>
            <w:tcW w:type="dxa" w:w="165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1.00</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Longest overall</w:t>
            </w:r>
          </w:p>
        </w:tc>
        <w:tc>
          <w:tcPr>
            <w:tcW w:type="dxa" w:w="44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Pediatrics-Pulmonology</w:t>
            </w:r>
          </w:p>
        </w:tc>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10.09</w:t>
            </w:r>
          </w:p>
        </w:tc>
      </w:tr>
      <w:tr>
        <w:trPr>
          <w:cantSplit/>
        </w:trPr>
        <w:tc>
          <w:tcPr>
            <w:tcW w:type="dxa" w:w="237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Shortest with n ≥ 100</w:t>
            </w:r>
          </w:p>
        </w:tc>
        <w:tc>
          <w:tcPr>
            <w:tcW w:type="dxa" w:w="446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ObstetricsandGynecology</w:t>
            </w:r>
          </w:p>
        </w:tc>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307</w:t>
            </w:r>
          </w:p>
        </w:tc>
        <w:tc>
          <w:tcPr>
            <w:tcW w:type="dxa" w:w="165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3.12</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Longest with n ≥ 100</w:t>
            </w:r>
          </w:p>
        </w:tc>
        <w:tc>
          <w:tcPr>
            <w:tcW w:type="dxa" w:w="44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PhysicalMedicineandRehabilitation</w:t>
            </w:r>
          </w:p>
        </w:tc>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198</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9.04</w:t>
            </w:r>
          </w:p>
        </w:tc>
      </w:tr>
    </w:tbl>
    <w:p>
      <w:pPr>
        <w:spacing w:after="0"/>
      </w:pPr>
    </w:p>
    <w:p>
      <w:r>
        <w:t>The n ≥ 100 threshold is a reporting safeguard, not a clinical cutoff. Tiny specialties can have extreme averages by chance. Almost half the specialty values are missing; Unknown is reported separately in specialty.csv and excluded from named-specialty rankings. Longer stays may reflect case mix and do not prove poor efficiency.</w:t>
      </w:r>
    </w:p>
    <w:p>
      <w:pPr>
        <w:pStyle w:val="Heading2"/>
      </w:pPr>
      <w:r>
        <w:t>B3 Emergency visits and readmission</w:t>
      </w:r>
    </w:p>
    <w:p>
      <w:r>
        <w:t>How does the number of emergency visits in the previous year correlate with readmission rates?</w:t>
      </w:r>
    </w:p>
    <w:tbl>
      <w:tblPr>
        <w:tblW w:type="auto" w:w="0"/>
        <w:jc w:val="center"/>
        <w:tblLayout w:type="fixed"/>
        <w:tblLook w:firstColumn="1" w:firstRow="1" w:lastColumn="0" w:lastRow="0" w:noHBand="0" w:noVBand="1" w:val="04A0"/>
      </w:tblPr>
      <w:tblGrid>
        <w:gridCol w:w="3744"/>
        <w:gridCol w:w="1872"/>
        <w:gridCol w:w="2304"/>
        <w:gridCol w:w="2016"/>
      </w:tblGrid>
      <w:tr>
        <w:trPr>
          <w:tblHeader/>
          <w:cantSplit/>
        </w:trPr>
        <w:tc>
          <w:tcPr>
            <w:tcW w:type="dxa" w:w="374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emergency_band</w:t>
            </w:r>
          </w:p>
        </w:tc>
        <w:tc>
          <w:tcPr>
            <w:tcW w:type="dxa" w:w="187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Encounters</w:t>
            </w:r>
          </w:p>
        </w:tc>
        <w:tc>
          <w:tcPr>
            <w:tcW w:type="dxa" w:w="230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Early readmissions</w:t>
            </w:r>
          </w:p>
        </w:tc>
        <w:tc>
          <w:tcPr>
            <w:tcW w:type="dxa" w:w="201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Rate</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0</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43,333</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4,533</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10.46%</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1</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3,786</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551</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14.55%</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2</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951</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190</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19.98%</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3+</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841</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205</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24.38%</w:t>
            </w:r>
          </w:p>
        </w:tc>
      </w:tr>
    </w:tbl>
    <w:p>
      <w:pPr>
        <w:spacing w:after="0"/>
      </w:pPr>
    </w:p>
    <w:p>
      <w:r>
        <w:t>Pearson correlation is 0.0681; Spearman correlation is 0.0677. A univariate linear-probability trend has patient-clustered p=2.98e-08. This is an association between prior emergency utilization and early readmission, not evidence that emergency care causes it. Use the grouped rates to judge practical size, rather than the p-value alone.</w:t>
      </w:r>
    </w:p>
    <w:p>
      <w:pPr>
        <w:pStyle w:val="Heading2"/>
      </w:pPr>
      <w:r>
        <w:t>B4 Thirty day readmission in diabetes</w:t>
      </w:r>
    </w:p>
    <w:p>
      <w:r>
        <w:t>What proportion of patients with diabetes were readmitted within 30 days?</w:t>
      </w:r>
    </w:p>
    <w:p>
      <w:r>
        <w:t>The answer for the diabetes encounter cohort is 5,479 / 48,911 = 11.20%. UCI describes the original source as encounters with a diabetes diagnosis; every cleaned encounter in this upload matches that source. [1]</w:t>
      </w:r>
    </w:p>
    <w:tbl>
      <w:tblPr>
        <w:tblW w:type="auto" w:w="0"/>
        <w:jc w:val="center"/>
        <w:tblLayout w:type="fixed"/>
        <w:tblLook w:firstColumn="1" w:firstRow="1" w:lastColumn="0" w:lastRow="0" w:noHBand="0" w:noVBand="1" w:val="04A0"/>
      </w:tblPr>
      <w:tblGrid>
        <w:gridCol w:w="4320"/>
        <w:gridCol w:w="1872"/>
        <w:gridCol w:w="2016"/>
        <w:gridCol w:w="1728"/>
      </w:tblGrid>
      <w:tr>
        <w:trPr>
          <w:tblHeader/>
          <w:cantSplit/>
        </w:trPr>
        <w:tc>
          <w:tcPr>
            <w:tcW w:type="dxa" w:w="432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Definition</w:t>
            </w:r>
          </w:p>
        </w:tc>
        <w:tc>
          <w:tcPr>
            <w:tcW w:type="dxa" w:w="187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Encounters</w:t>
            </w:r>
          </w:p>
        </w:tc>
        <w:tc>
          <w:tcPr>
            <w:tcW w:type="dxa" w:w="201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Early readmissions</w:t>
            </w:r>
          </w:p>
        </w:tc>
        <w:tc>
          <w:tcPr>
            <w:tcW w:type="dxa" w:w="172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Rate</w:t>
            </w:r>
          </w:p>
        </w:tc>
      </w:tr>
      <w:tr>
        <w:trPr>
          <w:cantSplit/>
        </w:trPr>
        <w:tc>
          <w:tcPr>
            <w:tcW w:type="dxa" w:w="432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All matched diabetes encounters</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48,911</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5,479</w:t>
            </w:r>
          </w:p>
        </w:tc>
        <w:tc>
          <w:tcPr>
            <w:tcW w:type="dxa" w:w="172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11.20%</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diabetesMed = Yes</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37,640</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4,389</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11.66%</w:t>
            </w:r>
          </w:p>
        </w:tc>
      </w:tr>
      <w:tr>
        <w:trPr>
          <w:cantSplit/>
        </w:trPr>
        <w:tc>
          <w:tcPr>
            <w:tcW w:type="dxa" w:w="432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250 diagnosis in diag_1 to diag_3</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18,315</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2,006</w:t>
            </w:r>
          </w:p>
        </w:tc>
        <w:tc>
          <w:tcPr>
            <w:tcW w:type="dxa" w:w="172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10.95%</w:t>
            </w:r>
          </w:p>
        </w:tc>
      </w:tr>
    </w:tbl>
    <w:p>
      <w:pPr>
        <w:spacing w:after="0"/>
      </w:pPr>
    </w:p>
    <w:p>
      <w:r>
        <w:t>diabetesMed = No does not imply no diabetes. The medication-based subset requested in the hint is therefore a narrower operational definition. At the distinct-patient level, 4,699 / 39,650 = 11.85% have at least one observed early-readmitted encounter; that is an ever-observed measure with unequal follow-up opportunities, not a per-discharge rate.</w:t>
      </w:r>
    </w:p>
    <w:p>
      <w:pPr>
        <w:pStyle w:val="Heading2"/>
      </w:pPr>
      <w:r>
        <w:t>B5 Medication changes and readmission</w:t>
      </w:r>
    </w:p>
    <w:p>
      <w:r>
        <w:t>Is there a significant difference in readmission rates between patients with changes in diabetic medication and those without?</w:t>
      </w:r>
    </w:p>
    <w:tbl>
      <w:tblPr>
        <w:tblW w:type="auto" w:w="0"/>
        <w:jc w:val="center"/>
        <w:tblLayout w:type="fixed"/>
        <w:tblLook w:firstColumn="1" w:firstRow="1" w:lastColumn="0" w:lastRow="0" w:noHBand="0" w:noVBand="1" w:val="04A0"/>
      </w:tblPr>
      <w:tblGrid>
        <w:gridCol w:w="3744"/>
        <w:gridCol w:w="1872"/>
        <w:gridCol w:w="2304"/>
        <w:gridCol w:w="2016"/>
      </w:tblGrid>
      <w:tr>
        <w:trPr>
          <w:tblHeader/>
          <w:cantSplit/>
        </w:trPr>
        <w:tc>
          <w:tcPr>
            <w:tcW w:type="dxa" w:w="374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change_group</w:t>
            </w:r>
          </w:p>
        </w:tc>
        <w:tc>
          <w:tcPr>
            <w:tcW w:type="dxa" w:w="187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Encounters</w:t>
            </w:r>
          </w:p>
        </w:tc>
        <w:tc>
          <w:tcPr>
            <w:tcW w:type="dxa" w:w="230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Early readmissions</w:t>
            </w:r>
          </w:p>
        </w:tc>
        <w:tc>
          <w:tcPr>
            <w:tcW w:type="dxa" w:w="201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Rate</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No</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26,364</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2,750</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10.43%</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Yes</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22,547</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2,729</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12.10%</w:t>
            </w:r>
          </w:p>
        </w:tc>
      </w:tr>
    </w:tbl>
    <w:p>
      <w:pPr>
        <w:spacing w:after="0"/>
      </w:pPr>
    </w:p>
    <w:p>
      <w:r>
        <w:t>The difference for changed minus unchanged medication is 1.67 percentage points (95% patient-clustered CI 1.07 to 2.27; p=4.9e-08). The difference is statistically significant at 5%. Severity, unstable disease and treatment selection can confound the comparison. Do not interpret it as a reason to avoid clinically indicated medication changes.</w:t>
      </w:r>
    </w:p>
    <w:p>
      <w:pPr>
        <w:pStyle w:val="Heading2"/>
      </w:pPr>
      <w:r>
        <w:t>B6 Laboratory procedures and readmission</w:t>
      </w:r>
    </w:p>
    <w:p>
      <w:r>
        <w:t>Investigate the relationship between the number of lab procedures performed during the stay and readmission rates.</w:t>
      </w:r>
    </w:p>
    <w:tbl>
      <w:tblPr>
        <w:tblW w:type="auto" w:w="0"/>
        <w:jc w:val="center"/>
        <w:tblLayout w:type="fixed"/>
        <w:tblLook w:firstColumn="1" w:firstRow="1" w:lastColumn="0" w:lastRow="0" w:noHBand="0" w:noVBand="1" w:val="04A0"/>
      </w:tblPr>
      <w:tblGrid>
        <w:gridCol w:w="3744"/>
        <w:gridCol w:w="1872"/>
        <w:gridCol w:w="2304"/>
        <w:gridCol w:w="2016"/>
      </w:tblGrid>
      <w:tr>
        <w:trPr>
          <w:tblHeader/>
          <w:cantSplit/>
        </w:trPr>
        <w:tc>
          <w:tcPr>
            <w:tcW w:type="dxa" w:w="374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lab_band</w:t>
            </w:r>
          </w:p>
        </w:tc>
        <w:tc>
          <w:tcPr>
            <w:tcW w:type="dxa" w:w="187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Encounters</w:t>
            </w:r>
          </w:p>
        </w:tc>
        <w:tc>
          <w:tcPr>
            <w:tcW w:type="dxa" w:w="230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Early readmissions</w:t>
            </w:r>
          </w:p>
        </w:tc>
        <w:tc>
          <w:tcPr>
            <w:tcW w:type="dxa" w:w="201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Rate</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0–25</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8,889</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908</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10.21%</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26–50</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22,156</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2,471</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11.15%</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51–75</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16,063</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1,905</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11.86%</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76+</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1,803</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195</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10.82%</w:t>
            </w:r>
          </w:p>
        </w:tc>
      </w:tr>
    </w:tbl>
    <w:p>
      <w:pPr>
        <w:spacing w:after="0"/>
      </w:pPr>
    </w:p>
    <w:p>
      <w:r>
        <w:t>Pearson r=0.0179 and Spearman r=0.0193; patient-clustered trend p=0.000102. The correlation is weak. More testing can reflect illness severity and a longer hospital stay. These results do not show that reducing indicated tests will prevent readmission.</w:t>
      </w:r>
    </w:p>
    <w:p>
      <w:pPr>
        <w:pStyle w:val="Heading2"/>
      </w:pPr>
      <w:r>
        <w:t>B7 Readmission by race and gender</w:t>
      </w:r>
    </w:p>
    <w:p>
      <w:r>
        <w:t>How do readmission rates vary by race and gender?</w:t>
      </w:r>
    </w:p>
    <w:tbl>
      <w:tblPr>
        <w:tblW w:type="auto" w:w="0"/>
        <w:jc w:val="center"/>
        <w:tblLayout w:type="fixed"/>
        <w:tblLook w:firstColumn="1" w:firstRow="1" w:lastColumn="0" w:lastRow="0" w:noHBand="0" w:noVBand="1" w:val="04A0"/>
      </w:tblPr>
      <w:tblGrid>
        <w:gridCol w:w="1728"/>
        <w:gridCol w:w="3888"/>
        <w:gridCol w:w="2160"/>
        <w:gridCol w:w="2160"/>
      </w:tblGrid>
      <w:tr>
        <w:trPr>
          <w:tblHeader/>
          <w:cantSplit/>
        </w:trPr>
        <w:tc>
          <w:tcPr>
            <w:tcW w:type="dxa" w:w="172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Dimension</w:t>
            </w:r>
          </w:p>
        </w:tc>
        <w:tc>
          <w:tcPr>
            <w:tcW w:type="dxa" w:w="388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Group</w:t>
            </w:r>
          </w:p>
        </w:tc>
        <w:tc>
          <w:tcPr>
            <w:tcW w:type="dxa" w:w="216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Encounters</w:t>
            </w:r>
          </w:p>
        </w:tc>
        <w:tc>
          <w:tcPr>
            <w:tcW w:type="dxa" w:w="216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Early rate</w:t>
            </w:r>
          </w:p>
        </w:tc>
      </w:tr>
      <w:tr>
        <w:trPr>
          <w:cantSplit/>
        </w:trPr>
        <w:tc>
          <w:tcPr>
            <w:tcW w:type="dxa" w:w="172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w:t>
            </w:r>
          </w:p>
        </w:tc>
        <w:tc>
          <w:tcPr>
            <w:tcW w:type="dxa" w:w="388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AfricanAmerican</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9,136</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11.26%</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w:t>
            </w:r>
          </w:p>
        </w:tc>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Asian</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300</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9.00%</w:t>
            </w:r>
          </w:p>
        </w:tc>
      </w:tr>
      <w:tr>
        <w:trPr>
          <w:cantSplit/>
        </w:trPr>
        <w:tc>
          <w:tcPr>
            <w:tcW w:type="dxa" w:w="172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w:t>
            </w:r>
          </w:p>
        </w:tc>
        <w:tc>
          <w:tcPr>
            <w:tcW w:type="dxa" w:w="388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Caucasian</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36,637</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11.30%</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w:t>
            </w:r>
          </w:p>
        </w:tc>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Hispanic</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970</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11.03%</w:t>
            </w:r>
          </w:p>
        </w:tc>
      </w:tr>
      <w:tr>
        <w:trPr>
          <w:cantSplit/>
        </w:trPr>
        <w:tc>
          <w:tcPr>
            <w:tcW w:type="dxa" w:w="172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w:t>
            </w:r>
          </w:p>
        </w:tc>
        <w:tc>
          <w:tcPr>
            <w:tcW w:type="dxa" w:w="388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Other</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754</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10.21%</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w:t>
            </w:r>
          </w:p>
        </w:tc>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Unknown</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1,114</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8.80%</w:t>
            </w:r>
          </w:p>
        </w:tc>
      </w:tr>
      <w:tr>
        <w:trPr>
          <w:cantSplit/>
        </w:trPr>
        <w:tc>
          <w:tcPr>
            <w:tcW w:type="dxa" w:w="172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gender</w:t>
            </w:r>
          </w:p>
        </w:tc>
        <w:tc>
          <w:tcPr>
            <w:tcW w:type="dxa" w:w="388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Female</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26,378</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11.21%</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gender</w:t>
            </w:r>
          </w:p>
        </w:tc>
        <w:tc>
          <w:tcPr>
            <w:tcW w:type="dxa" w:w="38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Male</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22,531</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11.19%</w:t>
            </w:r>
          </w:p>
        </w:tc>
      </w:tr>
      <w:tr>
        <w:trPr>
          <w:cantSplit/>
        </w:trPr>
        <w:tc>
          <w:tcPr>
            <w:tcW w:type="dxa" w:w="172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gender</w:t>
            </w:r>
          </w:p>
        </w:tc>
        <w:tc>
          <w:tcPr>
            <w:tcW w:type="dxa" w:w="388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Unknown/Invalid</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0.00%</w:t>
            </w:r>
          </w:p>
        </w:tc>
      </w:tr>
    </w:tbl>
    <w:p>
      <w:pPr>
        <w:spacing w:after="0"/>
      </w:pPr>
    </w:p>
    <w:p>
      <w:r>
        <w:t>The full joint race-by-gender analysis is in race_gender.csv. Unknown categories remain explicit. Descriptive differences are not adjusted for diagnoses, access to care or social conditions, and cannot be interpreted as biological effects of race. Small cells should not guide resource denial or medication decisions.</w:t>
      </w:r>
    </w:p>
    <w:p>
      <w:pPr>
        <w:pStyle w:val="Heading2"/>
      </w:pPr>
      <w:r>
        <w:t>B8 Weight distribution and readmission</w:t>
      </w:r>
    </w:p>
    <w:p>
      <w:r>
        <w:t>What is the distribution of patients across different weight categories, and how does this relate to readmission rates?</w:t>
      </w:r>
    </w:p>
    <w:tbl>
      <w:tblPr>
        <w:tblW w:type="auto" w:w="0"/>
        <w:jc w:val="center"/>
        <w:tblLayout w:type="fixed"/>
        <w:tblLook w:firstColumn="1" w:firstRow="1" w:lastColumn="0" w:lastRow="0" w:noHBand="0" w:noVBand="1" w:val="04A0"/>
      </w:tblPr>
      <w:tblGrid>
        <w:gridCol w:w="3744"/>
        <w:gridCol w:w="1872"/>
        <w:gridCol w:w="2304"/>
        <w:gridCol w:w="2016"/>
      </w:tblGrid>
      <w:tr>
        <w:trPr>
          <w:tblHeader/>
          <w:cantSplit/>
        </w:trPr>
        <w:tc>
          <w:tcPr>
            <w:tcW w:type="dxa" w:w="374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weight</w:t>
            </w:r>
          </w:p>
        </w:tc>
        <w:tc>
          <w:tcPr>
            <w:tcW w:type="dxa" w:w="187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Encounters</w:t>
            </w:r>
          </w:p>
        </w:tc>
        <w:tc>
          <w:tcPr>
            <w:tcW w:type="dxa" w:w="230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Early readmissions</w:t>
            </w:r>
          </w:p>
        </w:tc>
        <w:tc>
          <w:tcPr>
            <w:tcW w:type="dxa" w:w="201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Rate</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&gt;200</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0.00%</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Unknown</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47,354</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5,286</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11.16%</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[0-25)</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21</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19.05%</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[100-125)</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293</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34</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11.60%</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[125-150)</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76</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8</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10.53%</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[150-175)</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15</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6.67%</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[175-200)</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16.67%</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[25-50)</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44</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9.09%</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[50-75)</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442</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66</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14.93%</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[75-100)</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658</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75</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11.40%</w:t>
            </w:r>
          </w:p>
        </w:tc>
      </w:tr>
    </w:tbl>
    <w:p>
      <w:pPr>
        <w:spacing w:after="0"/>
      </w:pPr>
    </w:p>
    <w:p>
      <w:r>
        <w:t>Weight is missing in 47,354 of 48,911 encounters (96.82%); only 1,557 encounters have a recorded category. These are encounter distributions: a person can occur in more than one category across visits. Category units are not supplied in the assignment, so none are assumed. Missingness prevents generalizing complete-case rates to the whole cohort or recommending weight-based treatment from this file.</w:t>
      </w:r>
    </w:p>
    <w:p>
      <w:pPr>
        <w:pStyle w:val="Heading2"/>
      </w:pPr>
      <w:r>
        <w:t>B9 Medication count and hospital stay</w:t>
      </w:r>
    </w:p>
    <w:p>
      <w:r>
        <w:t>Evaluate the impact of the number of medications prescribed on the length of hospital stay.</w:t>
      </w:r>
    </w:p>
    <w:p>
      <w:r>
        <w:t>Pearson r=0.4651 and Spearman r=0.4648, a moderate positive association. Unadjusted regression associates one additional medication with 0.171 additional hospital days (95% clustered CI 0.167 to 0.174; p=&lt;1e-300). Both quantities accumulate during the stay. Longer stays and more severe illness can lead to more medications, so the direction of causation is unresolved.</w:t>
      </w:r>
    </w:p>
    <w:p>
      <w:pPr>
        <w:pStyle w:val="Heading2"/>
      </w:pPr>
      <w:r>
        <w:t>B10 Outpatient visits and readmission</w:t>
      </w:r>
    </w:p>
    <w:p>
      <w:r>
        <w:t>Assess the frequency and impact of outpatient visits in the year prior to the current hospital stay on readmission rates.</w:t>
      </w:r>
    </w:p>
    <w:tbl>
      <w:tblPr>
        <w:tblW w:type="auto" w:w="0"/>
        <w:jc w:val="center"/>
        <w:tblLayout w:type="fixed"/>
        <w:tblLook w:firstColumn="1" w:firstRow="1" w:lastColumn="0" w:lastRow="0" w:noHBand="0" w:noVBand="1" w:val="04A0"/>
      </w:tblPr>
      <w:tblGrid>
        <w:gridCol w:w="3744"/>
        <w:gridCol w:w="1872"/>
        <w:gridCol w:w="2304"/>
        <w:gridCol w:w="2016"/>
      </w:tblGrid>
      <w:tr>
        <w:trPr>
          <w:tblHeader/>
          <w:cantSplit/>
        </w:trPr>
        <w:tc>
          <w:tcPr>
            <w:tcW w:type="dxa" w:w="374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outpatient_band</w:t>
            </w:r>
          </w:p>
        </w:tc>
        <w:tc>
          <w:tcPr>
            <w:tcW w:type="dxa" w:w="187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Encounters</w:t>
            </w:r>
          </w:p>
        </w:tc>
        <w:tc>
          <w:tcPr>
            <w:tcW w:type="dxa" w:w="230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Early readmissions</w:t>
            </w:r>
          </w:p>
        </w:tc>
        <w:tc>
          <w:tcPr>
            <w:tcW w:type="dxa" w:w="201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Rate</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0</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40,785</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4,379</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10.74%</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1</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4,150</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565</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13.61%</w:t>
            </w:r>
          </w:p>
        </w:tc>
      </w:tr>
      <w:tr>
        <w:trPr>
          <w:cantSplit/>
        </w:trPr>
        <w:tc>
          <w:tcPr>
            <w:tcW w:type="dxa" w:w="37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2</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1,750</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246</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14.06%</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3+</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2,226</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289</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12.98%</w:t>
            </w:r>
          </w:p>
        </w:tc>
      </w:tr>
    </w:tbl>
    <w:p>
      <w:pPr>
        <w:spacing w:after="0"/>
      </w:pPr>
    </w:p>
    <w:p>
      <w:r>
        <w:t>Pearson r=0.0189; Spearman r=0.0327; clustered trend p=0.00015. Outpatient counts measure prior utilization, not the quality or timeliness of follow-up after this discharge. A higher observed rate among frequent users may reflect greater underlying need; it does not show that outpatient care is ineffective.</w:t>
      </w:r>
    </w:p>
    <w:p>
      <w:r>
        <w:br w:type="page"/>
      </w:r>
    </w:p>
    <w:p>
      <w:pPr>
        <w:pStyle w:val="Heading1"/>
      </w:pPr>
      <w:r>
        <w:t>Medium level answers</w:t>
      </w:r>
    </w:p>
    <w:p>
      <w:pPr>
        <w:pStyle w:val="Heading2"/>
      </w:pPr>
      <w:r>
        <w:t>M1 Seasonality and calendar trends</w:t>
      </w:r>
    </w:p>
    <w:p>
      <w:r>
        <w:t>Perform a trend analysis of readmission rates over time. Are there specific months or seasons with higher rates?</w:t>
      </w:r>
    </w:p>
    <w:p>
      <w:r>
        <w:t>Not estimable from this dataset. No admission date, discharge date, encounter year, month or season is present. encounter_id and export index are identifiers, not verified dates. Neither row order nor fabricated dates can support a seasonal trend. Required data: actual admission/discharge timestamps, complete 30-day outcome follow-up and a stable hospital cohort. Then aggregate eligible discharges and early-readmitted discharges by month, plot rates with denominators, and test seasonality while controlling for case mix.</w:t>
      </w:r>
    </w:p>
    <w:p>
      <w:pPr>
        <w:pStyle w:val="Heading2"/>
      </w:pPr>
      <w:r>
        <w:t>M2 Diagnosis burden and outcomes</w:t>
      </w:r>
    </w:p>
    <w:p>
      <w:r>
        <w:t>Analyze the effect of comorbid conditions (presence of multiple diagnoses) on the length of hospital stay and readmission rates.</w:t>
      </w:r>
    </w:p>
    <w:tbl>
      <w:tblPr>
        <w:tblW w:type="auto" w:w="0"/>
        <w:jc w:val="center"/>
        <w:tblLayout w:type="fixed"/>
        <w:tblLook w:firstColumn="1" w:firstRow="1" w:lastColumn="0" w:lastRow="0" w:noHBand="0" w:noVBand="1" w:val="04A0"/>
      </w:tblPr>
      <w:tblGrid>
        <w:gridCol w:w="3456"/>
        <w:gridCol w:w="2304"/>
        <w:gridCol w:w="2160"/>
        <w:gridCol w:w="2016"/>
      </w:tblGrid>
      <w:tr>
        <w:trPr>
          <w:tblHeader/>
          <w:cantSplit/>
        </w:trPr>
        <w:tc>
          <w:tcPr>
            <w:tcW w:type="dxa" w:w="345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Recorded diagnoses</w:t>
            </w:r>
          </w:p>
        </w:tc>
        <w:tc>
          <w:tcPr>
            <w:tcW w:type="dxa" w:w="230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Encounters</w:t>
            </w:r>
          </w:p>
        </w:tc>
        <w:tc>
          <w:tcPr>
            <w:tcW w:type="dxa" w:w="216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Mean stay days</w:t>
            </w:r>
          </w:p>
        </w:tc>
        <w:tc>
          <w:tcPr>
            <w:tcW w:type="dxa" w:w="201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Early rate</w:t>
            </w:r>
          </w:p>
        </w:tc>
      </w:tr>
      <w:tr>
        <w:trPr>
          <w:cantSplit/>
        </w:trPr>
        <w:tc>
          <w:tcPr>
            <w:tcW w:type="dxa" w:w="345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1–4</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4,630</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3.00</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7.65%</w:t>
            </w:r>
          </w:p>
        </w:tc>
      </w:tr>
      <w:tr>
        <w:trPr>
          <w:cantSplit/>
        </w:trPr>
        <w:tc>
          <w:tcPr>
            <w:tcW w:type="dxa" w:w="34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5–8</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20,397</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4.01</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10.74%</w:t>
            </w:r>
          </w:p>
        </w:tc>
      </w:tr>
      <w:tr>
        <w:trPr>
          <w:cantSplit/>
        </w:trPr>
        <w:tc>
          <w:tcPr>
            <w:tcW w:type="dxa" w:w="345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9+</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23,884</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5.01</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12.28%</w:t>
            </w:r>
          </w:p>
        </w:tc>
      </w:tr>
    </w:tbl>
    <w:p>
      <w:pPr>
        <w:spacing w:after="0"/>
      </w:pPr>
    </w:p>
    <w:p>
      <w:r>
        <w:t>Diagnosis count correlates with early readmission (Pearson r=0.0472, clustered p=4.71e-25), and length of stay (r=0.2193, p=&lt;1e-300). number_diagnoses is a crude recorded-diagnosis burden, not a validated comorbidity score; it includes coding intensity and may include acute problems. A Charlson or Elixhauser score would need validated code mappings and clinical review. Full count-by-count results are in diagnosis_count.csv.</w:t>
      </w:r>
    </w:p>
    <w:p>
      <w:pPr>
        <w:pStyle w:val="Heading2"/>
      </w:pPr>
      <w:r>
        <w:t>M3 Discharge disposition</w:t>
      </w:r>
    </w:p>
    <w:p>
      <w:r>
        <w:t>Investigate the role of discharge dispositions (e.g., discharged to home, transferred to another facility) in readmission rates.</w:t>
      </w:r>
    </w:p>
    <w:p>
      <w:r>
        <w:t>Not estimable: discharge disposition is absent from the supplied CSV. medical_specialty is not a substitute for discharge destination. Obtain discharge_disposition_id and its code dictionary, then distinguish home, supported home care, other facilities, death and hospice. Define eligible discharges and competing outcomes before calculating rates. Original UCI documentation lists a disposition field, but that field was not imported here. [1]</w:t>
      </w:r>
    </w:p>
    <w:p>
      <w:pPr>
        <w:pStyle w:val="Heading2"/>
      </w:pPr>
      <w:r>
        <w:t>M4 Demographics and interventions</w:t>
      </w:r>
    </w:p>
    <w:p>
      <w:r>
        <w:t>Explore the relationship between patient demographics (race, gender, age) and the type of medical interventions received (lab procedures, medications).</w:t>
      </w:r>
    </w:p>
    <w:tbl>
      <w:tblPr>
        <w:tblW w:type="auto" w:w="0"/>
        <w:jc w:val="center"/>
        <w:tblLayout w:type="fixed"/>
        <w:tblLook w:firstColumn="1" w:firstRow="1" w:lastColumn="0" w:lastRow="0" w:noHBand="0" w:noVBand="1" w:val="04A0"/>
      </w:tblPr>
      <w:tblGrid>
        <w:gridCol w:w="1440"/>
        <w:gridCol w:w="3096"/>
        <w:gridCol w:w="1584"/>
        <w:gridCol w:w="1872"/>
        <w:gridCol w:w="1944"/>
      </w:tblGrid>
      <w:tr>
        <w:trPr>
          <w:tblHeader/>
          <w:cantSplit/>
        </w:trPr>
        <w:tc>
          <w:tcPr>
            <w:tcW w:type="dxa" w:w="144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Dimension</w:t>
            </w:r>
          </w:p>
        </w:tc>
        <w:tc>
          <w:tcPr>
            <w:tcW w:type="dxa" w:w="309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Group</w:t>
            </w:r>
          </w:p>
        </w:tc>
        <w:tc>
          <w:tcPr>
            <w:tcW w:type="dxa" w:w="158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n</w:t>
            </w:r>
          </w:p>
        </w:tc>
        <w:tc>
          <w:tcPr>
            <w:tcW w:type="dxa" w:w="187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Mean labs</w:t>
            </w:r>
          </w:p>
        </w:tc>
        <w:tc>
          <w:tcPr>
            <w:tcW w:type="dxa" w:w="194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Mean medications</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age</w:t>
            </w:r>
          </w:p>
        </w:tc>
        <w:tc>
          <w:tcPr>
            <w:tcW w:type="dxa" w:w="30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[0-10)</w:t>
            </w:r>
          </w:p>
        </w:tc>
        <w:tc>
          <w:tcPr>
            <w:tcW w:type="dxa" w:w="158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77</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40.38</w:t>
            </w:r>
          </w:p>
        </w:tc>
        <w:tc>
          <w:tcPr>
            <w:tcW w:type="dxa" w:w="19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6.04</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age</w:t>
            </w:r>
          </w:p>
        </w:tc>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[10-20)</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313</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44.58</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8.23</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age</w:t>
            </w:r>
          </w:p>
        </w:tc>
        <w:tc>
          <w:tcPr>
            <w:tcW w:type="dxa" w:w="30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[20-30)</w:t>
            </w:r>
          </w:p>
        </w:tc>
        <w:tc>
          <w:tcPr>
            <w:tcW w:type="dxa" w:w="158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817</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43.09</w:t>
            </w:r>
          </w:p>
        </w:tc>
        <w:tc>
          <w:tcPr>
            <w:tcW w:type="dxa" w:w="19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11.85</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age</w:t>
            </w:r>
          </w:p>
        </w:tc>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[30-40)</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1,766</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42.79</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14.06</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age</w:t>
            </w:r>
          </w:p>
        </w:tc>
        <w:tc>
          <w:tcPr>
            <w:tcW w:type="dxa" w:w="30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[40-50)</w:t>
            </w:r>
          </w:p>
        </w:tc>
        <w:tc>
          <w:tcPr>
            <w:tcW w:type="dxa" w:w="158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4,619</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42.88</w:t>
            </w:r>
          </w:p>
        </w:tc>
        <w:tc>
          <w:tcPr>
            <w:tcW w:type="dxa" w:w="19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15.49</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age</w:t>
            </w:r>
          </w:p>
        </w:tc>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[50-60)</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8,421</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42.63</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16.65</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age</w:t>
            </w:r>
          </w:p>
        </w:tc>
        <w:tc>
          <w:tcPr>
            <w:tcW w:type="dxa" w:w="30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[60-70)</w:t>
            </w:r>
          </w:p>
        </w:tc>
        <w:tc>
          <w:tcPr>
            <w:tcW w:type="dxa" w:w="158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10,964</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42.71</w:t>
            </w:r>
          </w:p>
        </w:tc>
        <w:tc>
          <w:tcPr>
            <w:tcW w:type="dxa" w:w="19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17.17</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age</w:t>
            </w:r>
          </w:p>
        </w:tc>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[70-80)</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12,478</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43.12</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16.38</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age</w:t>
            </w:r>
          </w:p>
        </w:tc>
        <w:tc>
          <w:tcPr>
            <w:tcW w:type="dxa" w:w="30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[80-90)</w:t>
            </w:r>
          </w:p>
        </w:tc>
        <w:tc>
          <w:tcPr>
            <w:tcW w:type="dxa" w:w="158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8,103</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43.99</w:t>
            </w:r>
          </w:p>
        </w:tc>
        <w:tc>
          <w:tcPr>
            <w:tcW w:type="dxa" w:w="19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15.27</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age</w:t>
            </w:r>
          </w:p>
        </w:tc>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[90-100)</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1,353</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44.90</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13.68</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w:t>
            </w:r>
          </w:p>
        </w:tc>
        <w:tc>
          <w:tcPr>
            <w:tcW w:type="dxa" w:w="30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AfricanAmerican</w:t>
            </w:r>
          </w:p>
        </w:tc>
        <w:tc>
          <w:tcPr>
            <w:tcW w:type="dxa" w:w="158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9,136</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44.22</w:t>
            </w:r>
          </w:p>
        </w:tc>
        <w:tc>
          <w:tcPr>
            <w:tcW w:type="dxa" w:w="19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15.36</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w:t>
            </w:r>
          </w:p>
        </w:tc>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Asian</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300</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41.53</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13.11</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w:t>
            </w:r>
          </w:p>
        </w:tc>
        <w:tc>
          <w:tcPr>
            <w:tcW w:type="dxa" w:w="30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Caucasian</w:t>
            </w:r>
          </w:p>
        </w:tc>
        <w:tc>
          <w:tcPr>
            <w:tcW w:type="dxa" w:w="158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36,637</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42.84</w:t>
            </w:r>
          </w:p>
        </w:tc>
        <w:tc>
          <w:tcPr>
            <w:tcW w:type="dxa" w:w="19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16.29</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w:t>
            </w:r>
          </w:p>
        </w:tc>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Hispanic</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970</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41.66</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14.04</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w:t>
            </w:r>
          </w:p>
        </w:tc>
        <w:tc>
          <w:tcPr>
            <w:tcW w:type="dxa" w:w="30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Other</w:t>
            </w:r>
          </w:p>
        </w:tc>
        <w:tc>
          <w:tcPr>
            <w:tcW w:type="dxa" w:w="158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754</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43.55</w:t>
            </w:r>
          </w:p>
        </w:tc>
        <w:tc>
          <w:tcPr>
            <w:tcW w:type="dxa" w:w="19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15.27</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w:t>
            </w:r>
          </w:p>
        </w:tc>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Unknown</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1,114</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44.36</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15.97</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gender</w:t>
            </w:r>
          </w:p>
        </w:tc>
        <w:tc>
          <w:tcPr>
            <w:tcW w:type="dxa" w:w="30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Female</w:t>
            </w:r>
          </w:p>
        </w:tc>
        <w:tc>
          <w:tcPr>
            <w:tcW w:type="dxa" w:w="158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26,378</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43.20</w:t>
            </w:r>
          </w:p>
        </w:tc>
        <w:tc>
          <w:tcPr>
            <w:tcW w:type="dxa" w:w="19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16.14</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gender</w:t>
            </w:r>
          </w:p>
        </w:tc>
        <w:tc>
          <w:tcPr>
            <w:tcW w:type="dxa" w:w="30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Male</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22,531</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43.01</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15.91</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gender</w:t>
            </w:r>
          </w:p>
        </w:tc>
        <w:tc>
          <w:tcPr>
            <w:tcW w:type="dxa" w:w="30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Unknown/Invalid</w:t>
            </w:r>
          </w:p>
        </w:tc>
        <w:tc>
          <w:tcPr>
            <w:tcW w:type="dxa" w:w="158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21.50</w:t>
            </w:r>
          </w:p>
        </w:tc>
        <w:tc>
          <w:tcPr>
            <w:tcW w:type="dxa" w:w="19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14.00</w:t>
            </w:r>
          </w:p>
        </w:tc>
      </w:tr>
    </w:tbl>
    <w:p>
      <w:pPr>
        <w:spacing w:after="0"/>
      </w:pPr>
    </w:p>
    <w:tbl>
      <w:tblPr>
        <w:tblW w:type="auto" w:w="0"/>
        <w:jc w:val="center"/>
        <w:tblLayout w:type="fixed"/>
        <w:tblLook w:firstColumn="1" w:firstRow="1" w:lastColumn="0" w:lastRow="0" w:noHBand="0" w:noVBand="1" w:val="04A0"/>
      </w:tblPr>
      <w:tblGrid>
        <w:gridCol w:w="3312"/>
        <w:gridCol w:w="4032"/>
        <w:gridCol w:w="2592"/>
      </w:tblGrid>
      <w:tr>
        <w:trPr>
          <w:tblHeader/>
          <w:cantSplit/>
        </w:trPr>
        <w:tc>
          <w:tcPr>
            <w:tcW w:type="dxa" w:w="331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Demographic comparison</w:t>
            </w:r>
          </w:p>
        </w:tc>
        <w:tc>
          <w:tcPr>
            <w:tcW w:type="dxa" w:w="403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Outcome</w:t>
            </w:r>
          </w:p>
        </w:tc>
        <w:tc>
          <w:tcPr>
            <w:tcW w:type="dxa" w:w="259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Adjusted q value</w:t>
            </w:r>
          </w:p>
        </w:tc>
      </w:tr>
      <w:tr>
        <w:trPr>
          <w:cantSplit/>
        </w:trPr>
        <w:tc>
          <w:tcPr>
            <w:tcW w:type="dxa" w:w="331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age</w:t>
            </w:r>
          </w:p>
        </w:tc>
        <w:tc>
          <w:tcPr>
            <w:tcW w:type="dxa" w:w="403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num_lab_procedures</w:t>
            </w:r>
          </w:p>
        </w:tc>
        <w:tc>
          <w:tcPr>
            <w:tcW w:type="dxa" w:w="259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2.45e-05</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age</w:t>
            </w:r>
          </w:p>
        </w:tc>
        <w:tc>
          <w:tcPr>
            <w:tcW w:type="dxa" w:w="40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num_medications</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&lt;1e-300</w:t>
            </w:r>
          </w:p>
        </w:tc>
      </w:tr>
      <w:tr>
        <w:trPr>
          <w:cantSplit/>
        </w:trPr>
        <w:tc>
          <w:tcPr>
            <w:tcW w:type="dxa" w:w="331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w:t>
            </w:r>
          </w:p>
        </w:tc>
        <w:tc>
          <w:tcPr>
            <w:tcW w:type="dxa" w:w="403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num_lab_procedures</w:t>
            </w:r>
          </w:p>
        </w:tc>
        <w:tc>
          <w:tcPr>
            <w:tcW w:type="dxa" w:w="259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1.12e-08</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w:t>
            </w:r>
          </w:p>
        </w:tc>
        <w:tc>
          <w:tcPr>
            <w:tcW w:type="dxa" w:w="40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num_medications</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4.56e-41</w:t>
            </w:r>
          </w:p>
        </w:tc>
      </w:tr>
      <w:tr>
        <w:trPr>
          <w:cantSplit/>
        </w:trPr>
        <w:tc>
          <w:tcPr>
            <w:tcW w:type="dxa" w:w="331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gender</w:t>
            </w:r>
          </w:p>
        </w:tc>
        <w:tc>
          <w:tcPr>
            <w:tcW w:type="dxa" w:w="403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num_lab_procedures</w:t>
            </w:r>
          </w:p>
        </w:tc>
        <w:tc>
          <w:tcPr>
            <w:tcW w:type="dxa" w:w="259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0.308</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gender</w:t>
            </w:r>
          </w:p>
        </w:tc>
        <w:tc>
          <w:tcPr>
            <w:tcW w:type="dxa" w:w="40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num_medications</w:t>
            </w:r>
          </w:p>
        </w:tc>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0.004</w:t>
            </w:r>
          </w:p>
        </w:tc>
      </w:tr>
    </w:tbl>
    <w:p>
      <w:pPr>
        <w:spacing w:after="0"/>
      </w:pPr>
    </w:p>
    <w:p>
      <w:r>
        <w:t>Tests are patient-clustered omnibus Wald comparisons of category means, excluding unknown demographic values, with Benjamini-Hochberg correction across six comparisons. q &lt; 0.05 supports differences in unadjusted group means. Mean counts are also shown because statistical significance is not equivalent to a meaningful care disparity. Severity, diagnoses and length of stay are not controlled here; a case-mix-adjusted investigation is needed before attributing differences to unequal treatment.</w:t>
      </w:r>
    </w:p>
    <w:p>
      <w:pPr>
        <w:pStyle w:val="Heading2"/>
      </w:pPr>
      <w:r>
        <w:t>M5 Primary diagnosis and prior utilization</w:t>
      </w:r>
    </w:p>
    <w:p>
      <w:r>
        <w:t>Examine the association between the number of inpatient, outpatient, and emergency visits in the previous year and the type of primary diagnosis.</w:t>
      </w:r>
    </w:p>
    <w:tbl>
      <w:tblPr>
        <w:tblW w:type="auto" w:w="0"/>
        <w:jc w:val="center"/>
        <w:tblLayout w:type="fixed"/>
        <w:tblLook w:firstColumn="1" w:firstRow="1" w:lastColumn="0" w:lastRow="0" w:noHBand="0" w:noVBand="1" w:val="04A0"/>
      </w:tblPr>
      <w:tblGrid>
        <w:gridCol w:w="2232"/>
        <w:gridCol w:w="2016"/>
        <w:gridCol w:w="1872"/>
        <w:gridCol w:w="1872"/>
        <w:gridCol w:w="1944"/>
      </w:tblGrid>
      <w:tr>
        <w:trPr>
          <w:tblHeader/>
          <w:cantSplit/>
        </w:trPr>
        <w:tc>
          <w:tcPr>
            <w:tcW w:type="dxa" w:w="223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Primary code</w:t>
            </w:r>
          </w:p>
        </w:tc>
        <w:tc>
          <w:tcPr>
            <w:tcW w:type="dxa" w:w="201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Encounters</w:t>
            </w:r>
          </w:p>
        </w:tc>
        <w:tc>
          <w:tcPr>
            <w:tcW w:type="dxa" w:w="187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Mean inpatient</w:t>
            </w:r>
          </w:p>
        </w:tc>
        <w:tc>
          <w:tcPr>
            <w:tcW w:type="dxa" w:w="187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Mean outpatient</w:t>
            </w:r>
          </w:p>
        </w:tc>
        <w:tc>
          <w:tcPr>
            <w:tcW w:type="dxa" w:w="194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Mean emergency</w:t>
            </w:r>
          </w:p>
        </w:tc>
      </w:tr>
      <w:tr>
        <w:trPr>
          <w:cantSplit/>
        </w:trPr>
        <w:tc>
          <w:tcPr>
            <w:tcW w:type="dxa" w:w="223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428</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3,335</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0.94</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0.46</w:t>
            </w:r>
          </w:p>
        </w:tc>
        <w:tc>
          <w:tcPr>
            <w:tcW w:type="dxa" w:w="19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0.19</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414</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3,137</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0.36</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0.21</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0.07</w:t>
            </w:r>
          </w:p>
        </w:tc>
      </w:tr>
      <w:tr>
        <w:trPr>
          <w:cantSplit/>
        </w:trPr>
        <w:tc>
          <w:tcPr>
            <w:tcW w:type="dxa" w:w="223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786</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1,949</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0.47</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0.28</w:t>
            </w:r>
          </w:p>
        </w:tc>
        <w:tc>
          <w:tcPr>
            <w:tcW w:type="dxa" w:w="19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0.22</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410</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1,745</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0.35</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0.26</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0.09</w:t>
            </w:r>
          </w:p>
        </w:tc>
      </w:tr>
      <w:tr>
        <w:trPr>
          <w:cantSplit/>
        </w:trPr>
        <w:tc>
          <w:tcPr>
            <w:tcW w:type="dxa" w:w="223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486</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1,658</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0.58</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0.40</w:t>
            </w:r>
          </w:p>
        </w:tc>
        <w:tc>
          <w:tcPr>
            <w:tcW w:type="dxa" w:w="19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0.16</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427</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1,300</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0.44</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0.42</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0.13</w:t>
            </w:r>
          </w:p>
        </w:tc>
      </w:tr>
      <w:tr>
        <w:trPr>
          <w:cantSplit/>
        </w:trPr>
        <w:tc>
          <w:tcPr>
            <w:tcW w:type="dxa" w:w="223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491</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1,088</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1.01</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0.47</w:t>
            </w:r>
          </w:p>
        </w:tc>
        <w:tc>
          <w:tcPr>
            <w:tcW w:type="dxa" w:w="19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0.29</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715</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1,040</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0.16</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0.43</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0.07</w:t>
            </w:r>
          </w:p>
        </w:tc>
      </w:tr>
      <w:tr>
        <w:trPr>
          <w:cantSplit/>
        </w:trPr>
        <w:tc>
          <w:tcPr>
            <w:tcW w:type="dxa" w:w="223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682</w:t>
            </w:r>
          </w:p>
        </w:tc>
        <w:tc>
          <w:tcPr>
            <w:tcW w:type="dxa" w:w="201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1,009</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0.55</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0.37</w:t>
            </w:r>
          </w:p>
        </w:tc>
        <w:tc>
          <w:tcPr>
            <w:tcW w:type="dxa" w:w="194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0.27</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780</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989</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0.60</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0.35</w:t>
            </w:r>
          </w:p>
        </w:tc>
        <w:tc>
          <w:tcPr>
            <w:tcW w:type="dxa" w:w="194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0.21</w:t>
            </w:r>
          </w:p>
        </w:tc>
      </w:tr>
    </w:tbl>
    <w:p>
      <w:pPr>
        <w:spacing w:after="0"/>
      </w:pPr>
    </w:p>
    <w:p>
      <w:r>
        <w:t>This table shows the ten most frequent primary codes, not the ten most severe diagnoses. The complete diagnosis-level table is primary_diagnosis_utilization.csv. Compare utilization within adequately sized diagnosis groups to plan care coordination and capacity. Code values are kept as recorded because a validated clinical mapping was not supplied; no disease names are inferred from diag_5.</w:t>
      </w:r>
    </w:p>
    <w:p>
      <w:pPr>
        <w:pStyle w:val="Heading2"/>
      </w:pPr>
      <w:r>
        <w:t>M6 Long term health and mortality</w:t>
      </w:r>
    </w:p>
    <w:p>
      <w:r>
        <w:t>Determine the impact of hospital readmissions on patient outcomes beyond the immediate readmission event (e.g., overall health deterioration, increased mortality rates).</w:t>
      </w:r>
    </w:p>
    <w:p>
      <w:r>
        <w:t>Not estimable. Mortality, functional status, health deterioration measures, follow-up dates and long-term outcomes are absent. Length of stay and prior visit counts cannot substitute for observed future deterioration or death. Required data: longitudinal clinical outcomes, death records and follow-up/censoring dates. Use an explicit landmark at discharge and a survival or competing-risk analysis to avoid assuming equal follow-up or treating death as successful non-readmission.</w:t>
      </w:r>
    </w:p>
    <w:p>
      <w:pPr>
        <w:pStyle w:val="Heading2"/>
      </w:pPr>
      <w:r>
        <w:t>M7 Specialty prescribing patterns</w:t>
      </w:r>
    </w:p>
    <w:p>
      <w:r>
        <w:t>Assess the variation in medication prescribing patterns (X1 to X25) across different medical specialties and their impact on readmission rates.</w:t>
      </w:r>
    </w:p>
    <w:tbl>
      <w:tblPr>
        <w:tblW w:type="auto" w:w="0"/>
        <w:jc w:val="center"/>
        <w:tblLayout w:type="fixed"/>
        <w:tblLook w:firstColumn="1" w:firstRow="1" w:lastColumn="0" w:lastRow="0" w:noHBand="0" w:noVBand="1" w:val="04A0"/>
      </w:tblPr>
      <w:tblGrid>
        <w:gridCol w:w="5760"/>
        <w:gridCol w:w="1872"/>
        <w:gridCol w:w="2304"/>
      </w:tblGrid>
      <w:tr>
        <w:trPr>
          <w:tblHeader/>
          <w:cantSplit/>
        </w:trPr>
        <w:tc>
          <w:tcPr>
            <w:tcW w:type="dxa" w:w="576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Specialty</w:t>
            </w:r>
          </w:p>
        </w:tc>
        <w:tc>
          <w:tcPr>
            <w:tcW w:type="dxa" w:w="187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Encounters</w:t>
            </w:r>
          </w:p>
        </w:tc>
        <w:tc>
          <w:tcPr>
            <w:tcW w:type="dxa" w:w="230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Active X20 share</w:t>
            </w:r>
          </w:p>
        </w:tc>
      </w:tr>
      <w:tr>
        <w:trPr>
          <w:cantSplit/>
        </w:trPr>
        <w:tc>
          <w:tcPr>
            <w:tcW w:type="dxa" w:w="57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Cardiology</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2,551</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44.77%</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Emergency/Trauma</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3,642</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64.03%</w:t>
            </w:r>
          </w:p>
        </w:tc>
      </w:tr>
      <w:tr>
        <w:trPr>
          <w:cantSplit/>
        </w:trPr>
        <w:tc>
          <w:tcPr>
            <w:tcW w:type="dxa" w:w="57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Family/GeneralPractice</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3,636</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52.89%</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InternalMedicine</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6,977</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57.68%</w:t>
            </w:r>
          </w:p>
        </w:tc>
      </w:tr>
      <w:tr>
        <w:trPr>
          <w:cantSplit/>
        </w:trPr>
        <w:tc>
          <w:tcPr>
            <w:tcW w:type="dxa" w:w="57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Nephrology</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801</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61.80%</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Orthopedics</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651</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40.71%</w:t>
            </w:r>
          </w:p>
        </w:tc>
      </w:tr>
      <w:tr>
        <w:trPr>
          <w:cantSplit/>
        </w:trPr>
        <w:tc>
          <w:tcPr>
            <w:tcW w:type="dxa" w:w="57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Orthopedics-Reconstructive</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591</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39.93%</w:t>
            </w:r>
          </w:p>
        </w:tc>
      </w:tr>
      <w:tr>
        <w:trPr>
          <w:cantSplit/>
        </w:trPr>
        <w:tc>
          <w:tcPr>
            <w:tcW w:type="dxa" w:w="57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Radiologist</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570</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49.82%</w:t>
            </w:r>
          </w:p>
        </w:tc>
      </w:tr>
      <w:tr>
        <w:trPr>
          <w:cantSplit/>
        </w:trPr>
        <w:tc>
          <w:tcPr>
            <w:tcW w:type="dxa" w:w="57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Surgery-General</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1,521</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50.10%</w:t>
            </w:r>
          </w:p>
        </w:tc>
      </w:tr>
    </w:tbl>
    <w:p>
      <w:pPr>
        <w:spacing w:after="0"/>
      </w:pPr>
    </w:p>
    <w:p>
      <w:r>
        <w:t>X20 is an illustrative nonconstant state-coded variable; active means Steady, Up or Down, versus No. The table is restricted to named specialties with at least 500 encounters. specialty_X_state_patterns.csv contains every observed state of all 25 X variables for every specialty; all_X_state_readmission.csv provides state-specific early-readmission counts and rates. X_active_tests.csv contains patient-clustered comparisons for the 12 variables with at least 30 encounters in both activity groups, with false-discovery correction.</w:t>
      </w:r>
    </w:p>
    <w:p>
      <w:r>
        <w:t>The assignment does not map X1–X25 to named drugs. Some fields contain None, Norm or threshold-like categories, so it would be unsafe to treat every X field as a simple medication indicator. State comparisons remain descriptive. Specialty differences and readmission associations do not establish treatment effects; case mix and combinations of therapies differ.</w:t>
      </w:r>
    </w:p>
    <w:p>
      <w:pPr>
        <w:pStyle w:val="Heading2"/>
      </w:pPr>
      <w:r>
        <w:t>M8 Weight and diagnosis combinations</w:t>
      </w:r>
    </w:p>
    <w:p>
      <w:r>
        <w:t>Conduct a detailed analysis of the relationship between patient weight categories and specific diagnosis codes on readmission rates.</w:t>
      </w:r>
    </w:p>
    <w:tbl>
      <w:tblPr>
        <w:tblW w:type="auto" w:w="0"/>
        <w:jc w:val="center"/>
        <w:tblLayout w:type="fixed"/>
        <w:tblLook w:firstColumn="1" w:firstRow="1" w:lastColumn="0" w:lastRow="0" w:noHBand="0" w:noVBand="1" w:val="04A0"/>
      </w:tblPr>
      <w:tblGrid>
        <w:gridCol w:w="2880"/>
        <w:gridCol w:w="2448"/>
        <w:gridCol w:w="2304"/>
        <w:gridCol w:w="2304"/>
      </w:tblGrid>
      <w:tr>
        <w:trPr>
          <w:tblHeader/>
          <w:cantSplit/>
        </w:trPr>
        <w:tc>
          <w:tcPr>
            <w:tcW w:type="dxa" w:w="288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Weight category</w:t>
            </w:r>
          </w:p>
        </w:tc>
        <w:tc>
          <w:tcPr>
            <w:tcW w:type="dxa" w:w="244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Primary code</w:t>
            </w:r>
          </w:p>
        </w:tc>
        <w:tc>
          <w:tcPr>
            <w:tcW w:type="dxa" w:w="230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Encounters</w:t>
            </w:r>
          </w:p>
        </w:tc>
        <w:tc>
          <w:tcPr>
            <w:tcW w:type="dxa" w:w="230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Early rate</w:t>
            </w:r>
          </w:p>
        </w:tc>
      </w:tr>
      <w:tr>
        <w:trPr>
          <w:cantSplit/>
        </w:trPr>
        <w:tc>
          <w:tcPr>
            <w:tcW w:type="dxa" w:w="288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[75-100)</w:t>
            </w:r>
          </w:p>
        </w:tc>
        <w:tc>
          <w:tcPr>
            <w:tcW w:type="dxa" w:w="244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414</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59</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10.17%</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[75-100)</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715</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43</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23.26%</w:t>
            </w:r>
          </w:p>
        </w:tc>
      </w:tr>
      <w:tr>
        <w:trPr>
          <w:cantSplit/>
        </w:trPr>
        <w:tc>
          <w:tcPr>
            <w:tcW w:type="dxa" w:w="288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[50-75)</w:t>
            </w:r>
          </w:p>
        </w:tc>
        <w:tc>
          <w:tcPr>
            <w:tcW w:type="dxa" w:w="244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428</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29</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10.34%</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[100-125)</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414</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26</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7.69%</w:t>
            </w:r>
          </w:p>
        </w:tc>
      </w:tr>
      <w:tr>
        <w:trPr>
          <w:cantSplit/>
        </w:trPr>
        <w:tc>
          <w:tcPr>
            <w:tcW w:type="dxa" w:w="288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[75-100)</w:t>
            </w:r>
          </w:p>
        </w:tc>
        <w:tc>
          <w:tcPr>
            <w:tcW w:type="dxa" w:w="244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427</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26</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7.69%</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[75-100)</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428</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25</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12.00%</w:t>
            </w:r>
          </w:p>
        </w:tc>
      </w:tr>
      <w:tr>
        <w:trPr>
          <w:cantSplit/>
        </w:trPr>
        <w:tc>
          <w:tcPr>
            <w:tcW w:type="dxa" w:w="288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[50-75)</w:t>
            </w:r>
          </w:p>
        </w:tc>
        <w:tc>
          <w:tcPr>
            <w:tcW w:type="dxa" w:w="244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410</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23</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4.35%</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[75-100)</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786</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22</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9.09%</w:t>
            </w:r>
          </w:p>
        </w:tc>
      </w:tr>
      <w:tr>
        <w:trPr>
          <w:cantSplit/>
        </w:trPr>
        <w:tc>
          <w:tcPr>
            <w:tcW w:type="dxa" w:w="288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[50-75)</w:t>
            </w:r>
          </w:p>
        </w:tc>
        <w:tc>
          <w:tcPr>
            <w:tcW w:type="dxa" w:w="244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414</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20</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10.00%</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[75-100)</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410</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20</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0.00%</w:t>
            </w:r>
          </w:p>
        </w:tc>
      </w:tr>
    </w:tbl>
    <w:p>
      <w:pPr>
        <w:spacing w:after="0"/>
      </w:pPr>
    </w:p>
    <w:p>
      <w:r>
        <w:t>These are the ten most frequent observed complete-case combinations; the full cross-tabulation is weight_diagnosis.csv, including Unknown strata. Even frequent pairs have limited support, and the vast majority of encounters have no weight. Do not rank a pair as clinically high risk from a tiny denominator or a zero-event cell. Better weight capture and adjustment for age and diagnosis severity are needed to estimate reliable joint effects.</w:t>
      </w:r>
    </w:p>
    <w:p>
      <w:pPr>
        <w:pStyle w:val="Heading2"/>
      </w:pPr>
      <w:r>
        <w:t>M9 Medication associations versus effectiveness</w:t>
      </w:r>
    </w:p>
    <w:p>
      <w:r>
        <w:t>Explore the effectiveness of different diabetic medications (as indicated by the X variables) on preventing readmissions among diabetic patients.</w:t>
      </w:r>
    </w:p>
    <w:tbl>
      <w:tblPr>
        <w:tblW w:type="auto" w:w="0"/>
        <w:jc w:val="center"/>
        <w:tblLayout w:type="fixed"/>
        <w:tblLook w:firstColumn="1" w:firstRow="1" w:lastColumn="0" w:lastRow="0" w:noHBand="0" w:noVBand="1" w:val="04A0"/>
      </w:tblPr>
      <w:tblGrid>
        <w:gridCol w:w="1440"/>
        <w:gridCol w:w="1872"/>
        <w:gridCol w:w="2160"/>
        <w:gridCol w:w="2160"/>
        <w:gridCol w:w="2304"/>
      </w:tblGrid>
      <w:tr>
        <w:trPr>
          <w:tblHeader/>
          <w:cantSplit/>
        </w:trPr>
        <w:tc>
          <w:tcPr>
            <w:tcW w:type="dxa" w:w="144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X field</w:t>
            </w:r>
          </w:p>
        </w:tc>
        <w:tc>
          <w:tcPr>
            <w:tcW w:type="dxa" w:w="187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Active n</w:t>
            </w:r>
          </w:p>
        </w:tc>
        <w:tc>
          <w:tcPr>
            <w:tcW w:type="dxa" w:w="216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Active rate</w:t>
            </w:r>
          </w:p>
        </w:tc>
        <w:tc>
          <w:tcPr>
            <w:tcW w:type="dxa" w:w="216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No rate</w:t>
            </w:r>
          </w:p>
        </w:tc>
        <w:tc>
          <w:tcPr>
            <w:tcW w:type="dxa" w:w="230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Adjusted q</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X3</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9,613</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9.71%</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12.33%</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9.27e-11</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X4</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758</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12.66%</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11.64%</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0.581</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X5</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357</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13.45%</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11.64%</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0.496</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X6</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50</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6.00%</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11.67%</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0.375</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X7</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2,488</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10.69%</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11.73%</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0.301</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X9</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6,071</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11.73%</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11.65%</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0.864</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X10</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5,079</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10.22%</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11.89%</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0.002</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X12</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3,551</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11.04%</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11.73%</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0.394</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X13</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3,058</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10.37%</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11.77%</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0.0641</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X14</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159</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10.06%</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11.67%</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0.583</w:t>
            </w:r>
          </w:p>
        </w:tc>
      </w:tr>
      <w:tr>
        <w:trPr>
          <w:cantSplit/>
        </w:trPr>
        <w:tc>
          <w:tcPr>
            <w:tcW w:type="dxa" w:w="14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X20</w:t>
            </w:r>
          </w:p>
        </w:tc>
        <w:tc>
          <w:tcPr>
            <w:tcW w:type="dxa" w:w="187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26,057</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12.36%</w:t>
            </w:r>
          </w:p>
        </w:tc>
        <w:tc>
          <w:tcPr>
            <w:tcW w:type="dxa" w:w="216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10.08%</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3.1e-09</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X21</w:t>
            </w:r>
          </w:p>
        </w:tc>
        <w:tc>
          <w:tcPr>
            <w:tcW w:type="dxa" w:w="18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350</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11.14%</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11.67%</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0.842</w:t>
            </w:r>
          </w:p>
        </w:tc>
      </w:tr>
    </w:tbl>
    <w:p>
      <w:pPr>
        <w:spacing w:after="0"/>
      </w:pPr>
    </w:p>
    <w:p>
      <w:r>
        <w:t>This comparison is restricted to diabetesMed = Yes, following the question hint. Active combines Steady, Up and Down; the comparator is No for that variable, not no diabetes treatment. Both groups require at least 30 encounters. Tests use patient-clustered risk differences and Benjamini-Hochberg correction within this 12-variable family; all counts, differences and p-values are in diabetes_X_tests.csv.</w:t>
      </w:r>
    </w:p>
    <w:p>
      <w:r>
        <w:t>These results answer the measurable association component only. Drug identities, indications, dose, adherence and clinical severity are not established, and treatment allocation is not randomized. Therefore this dataset cannot identify which named drug prevents readmission or demonstrate comparative effectiveness. No medication change is recommended from these comparisons.</w:t>
      </w:r>
    </w:p>
    <w:p>
      <w:pPr>
        <w:pStyle w:val="Heading2"/>
      </w:pPr>
      <w:r>
        <w:t>M10 Patient satisfaction</w:t>
      </w:r>
    </w:p>
    <w:p>
      <w:r>
        <w:t>Analyze patient satisfaction scores, if available, to identify any correlations with readmission rates.</w:t>
      </w:r>
    </w:p>
    <w:p>
      <w:r>
        <w:t>Not estimable: no satisfaction score, survey response or survey timestamp is available. Obtain a validated satisfaction measure linked to encounters, response dates and nonresponse information. Then analyse satisfaction measured at an appropriate time relative to readmission, adjust for case mix and examine response bias. Never substitute diag_5 for satisfaction simply because its values fall between 0 and 100.</w:t>
      </w:r>
    </w:p>
    <w:p>
      <w:r>
        <w:br w:type="page"/>
      </w:r>
    </w:p>
    <w:p>
      <w:pPr>
        <w:pStyle w:val="Heading1"/>
      </w:pPr>
      <w:r>
        <w:t>Advanced level answers</w:t>
      </w:r>
    </w:p>
    <w:p>
      <w:pPr>
        <w:pStyle w:val="Heading2"/>
      </w:pPr>
      <w:r>
        <w:t>A1 Prediction of early readmission</w:t>
      </w:r>
    </w:p>
    <w:p>
      <w:r>
        <w:t>Develop a predictive model to identify patients at high risk of readmission based on their initial hospital visit data.</w:t>
      </w:r>
    </w:p>
    <w:p>
      <w:r>
        <w:t>The model predicts the corrected &lt;30-day outcome, not the uploaded any-readmission flag. The primary prediction point is the initial stage of the index admission, not the first lifetime encounter. Inputs are age-band midpoint, gender, admitting medical specialty and previous-year inpatient, outpatient and emergency visits. Full-stay medication/lab totals, final diagnosis counts and length of stay are excluded because they are not known at that prediction point. Specialty availability at the intended local prediction time must be verified.</w:t>
      </w:r>
    </w:p>
    <w:tbl>
      <w:tblPr>
        <w:tblW w:type="auto" w:w="0"/>
        <w:jc w:val="center"/>
        <w:tblLayout w:type="fixed"/>
        <w:tblLook w:firstColumn="1" w:firstRow="1" w:lastColumn="0" w:lastRow="0" w:noHBand="0" w:noVBand="1" w:val="04A0"/>
      </w:tblPr>
      <w:tblGrid>
        <w:gridCol w:w="2592"/>
        <w:gridCol w:w="2448"/>
        <w:gridCol w:w="2448"/>
        <w:gridCol w:w="2448"/>
      </w:tblGrid>
      <w:tr>
        <w:trPr>
          <w:tblHeader/>
          <w:cantSplit/>
        </w:trPr>
        <w:tc>
          <w:tcPr>
            <w:tcW w:type="dxa" w:w="259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Partition</w:t>
            </w:r>
          </w:p>
        </w:tc>
        <w:tc>
          <w:tcPr>
            <w:tcW w:type="dxa" w:w="244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Patients</w:t>
            </w:r>
          </w:p>
        </w:tc>
        <w:tc>
          <w:tcPr>
            <w:tcW w:type="dxa" w:w="244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Encounters</w:t>
            </w:r>
          </w:p>
        </w:tc>
        <w:tc>
          <w:tcPr>
            <w:tcW w:type="dxa" w:w="244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Early rate</w:t>
            </w:r>
          </w:p>
        </w:tc>
      </w:tr>
      <w:tr>
        <w:trPr>
          <w:cantSplit/>
        </w:trPr>
        <w:tc>
          <w:tcPr>
            <w:tcW w:type="dxa" w:w="259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train</w:t>
            </w:r>
          </w:p>
        </w:tc>
        <w:tc>
          <w:tcPr>
            <w:tcW w:type="dxa" w:w="244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23,790</w:t>
            </w:r>
          </w:p>
        </w:tc>
        <w:tc>
          <w:tcPr>
            <w:tcW w:type="dxa" w:w="244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29,410</w:t>
            </w:r>
          </w:p>
        </w:tc>
        <w:tc>
          <w:tcPr>
            <w:tcW w:type="dxa" w:w="244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11.39%</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validation</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7,930</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9,834</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10.91%</w:t>
            </w:r>
          </w:p>
        </w:tc>
      </w:tr>
      <w:tr>
        <w:trPr>
          <w:cantSplit/>
        </w:trPr>
        <w:tc>
          <w:tcPr>
            <w:tcW w:type="dxa" w:w="259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test</w:t>
            </w:r>
          </w:p>
        </w:tc>
        <w:tc>
          <w:tcPr>
            <w:tcW w:type="dxa" w:w="244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7,930</w:t>
            </w:r>
          </w:p>
        </w:tc>
        <w:tc>
          <w:tcPr>
            <w:tcW w:type="dxa" w:w="244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9,667</w:t>
            </w:r>
          </w:p>
        </w:tc>
        <w:tc>
          <w:tcPr>
            <w:tcW w:type="dxa" w:w="244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10.91%</w:t>
            </w:r>
          </w:p>
        </w:tc>
      </w:tr>
    </w:tbl>
    <w:p>
      <w:pPr>
        <w:spacing w:after="0"/>
      </w:pPr>
    </w:p>
    <w:p>
      <w:r>
        <w:t>Two GroupShuffleSplit operations allocate 60%/20%/20% of patients to train/validation/test (seeds 42 and 43). Exact assertions confirm zero patient overlap. Imputation, scaling and category encoding are fitted on training data only. IDs, race, weight, diag_4, diag_5 and original outcome fields are not predictors. Excluding race does not by itself establish fairness. The lack of dates and hospital IDs prevents temporal or external-hospital validation. [4]</w:t>
      </w:r>
    </w:p>
    <w:tbl>
      <w:tblPr>
        <w:tblW w:type="auto" w:w="0"/>
        <w:jc w:val="center"/>
        <w:tblLayout w:type="fixed"/>
        <w:tblLook w:firstColumn="1" w:firstRow="1" w:lastColumn="0" w:lastRow="0" w:noHBand="0" w:noVBand="1" w:val="04A0"/>
      </w:tblPr>
      <w:tblGrid>
        <w:gridCol w:w="4608"/>
        <w:gridCol w:w="2448"/>
        <w:gridCol w:w="2880"/>
      </w:tblGrid>
      <w:tr>
        <w:trPr>
          <w:tblHeader/>
          <w:cantSplit/>
        </w:trPr>
        <w:tc>
          <w:tcPr>
            <w:tcW w:type="dxa" w:w="460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Initial visit model</w:t>
            </w:r>
          </w:p>
        </w:tc>
        <w:tc>
          <w:tcPr>
            <w:tcW w:type="dxa" w:w="244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Validation ROC AUC</w:t>
            </w:r>
          </w:p>
        </w:tc>
        <w:tc>
          <w:tcPr>
            <w:tcW w:type="dxa" w:w="288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Validation average precision</w:t>
            </w:r>
          </w:p>
        </w:tc>
      </w:tr>
      <w:tr>
        <w:trPr>
          <w:cantSplit/>
        </w:trPr>
        <w:tc>
          <w:tcPr>
            <w:tcW w:type="dxa" w:w="460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logistic</w:t>
            </w:r>
          </w:p>
        </w:tc>
        <w:tc>
          <w:tcPr>
            <w:tcW w:type="dxa" w:w="244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0.609</w:t>
            </w:r>
          </w:p>
        </w:tc>
        <w:tc>
          <w:tcPr>
            <w:tcW w:type="dxa" w:w="288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0.171</w:t>
            </w:r>
          </w:p>
        </w:tc>
      </w:tr>
      <w:tr>
        <w:trPr>
          <w:cantSplit/>
        </w:trPr>
        <w:tc>
          <w:tcPr>
            <w:tcW w:type="dxa" w:w="46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random forest</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0.616</w:t>
            </w:r>
          </w:p>
        </w:tc>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0.175</w:t>
            </w:r>
          </w:p>
        </w:tc>
      </w:tr>
    </w:tbl>
    <w:p>
      <w:pPr>
        <w:spacing w:after="0"/>
      </w:pPr>
    </w:p>
    <w:p>
      <w:r>
        <w:t>Initial visit random forest is selected by validation average precision, not test performance. Logistic regression uses C=1 and at most 1,000 iterations. The forest uses 180 trees, maximum depth 9 and minimum leaf size 40. No oversampling or class weighting is used. Age midpoint is a modeling approximation; the original age band remains intact in the descriptive analysis.</w:t>
      </w:r>
    </w:p>
    <w:tbl>
      <w:tblPr>
        <w:tblW w:type="auto" w:w="0"/>
        <w:jc w:val="center"/>
        <w:tblLayout w:type="fixed"/>
        <w:tblLook w:firstColumn="1" w:firstRow="1" w:lastColumn="0" w:lastRow="0" w:noHBand="0" w:noVBand="1" w:val="04A0"/>
      </w:tblPr>
      <w:tblGrid>
        <w:gridCol w:w="4464"/>
        <w:gridCol w:w="2736"/>
        <w:gridCol w:w="2736"/>
      </w:tblGrid>
      <w:tr>
        <w:trPr>
          <w:tblHeader/>
          <w:cantSplit/>
        </w:trPr>
        <w:tc>
          <w:tcPr>
            <w:tcW w:type="dxa" w:w="446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Held out metric</w:t>
            </w:r>
          </w:p>
        </w:tc>
        <w:tc>
          <w:tcPr>
            <w:tcW w:type="dxa" w:w="273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Capacity threshold</w:t>
            </w:r>
          </w:p>
        </w:tc>
        <w:tc>
          <w:tcPr>
            <w:tcW w:type="dxa" w:w="273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Threshold 0.5</w:t>
            </w:r>
          </w:p>
        </w:tc>
      </w:tr>
      <w:tr>
        <w:trPr>
          <w:cantSplit/>
        </w:trPr>
        <w:tc>
          <w:tcPr>
            <w:tcW w:type="dxa" w:w="446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ROC AUC</w:t>
            </w:r>
          </w:p>
        </w:tc>
        <w:tc>
          <w:tcPr>
            <w:tcW w:type="dxa" w:w="27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0.628</w:t>
            </w:r>
          </w:p>
        </w:tc>
        <w:tc>
          <w:tcPr>
            <w:tcW w:type="dxa" w:w="27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0.628</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Average precision</w:t>
            </w:r>
          </w:p>
        </w:tc>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0.198</w:t>
            </w:r>
          </w:p>
        </w:tc>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0.198</w:t>
            </w:r>
          </w:p>
        </w:tc>
      </w:tr>
      <w:tr>
        <w:trPr>
          <w:cantSplit/>
        </w:trPr>
        <w:tc>
          <w:tcPr>
            <w:tcW w:type="dxa" w:w="446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Precision</w:t>
            </w:r>
          </w:p>
        </w:tc>
        <w:tc>
          <w:tcPr>
            <w:tcW w:type="dxa" w:w="27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18.85%</w:t>
            </w:r>
          </w:p>
        </w:tc>
        <w:tc>
          <w:tcPr>
            <w:tcW w:type="dxa" w:w="27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Not defined</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Recall</w:t>
            </w:r>
          </w:p>
        </w:tc>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32.89%</w:t>
            </w:r>
          </w:p>
        </w:tc>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0.00%</w:t>
            </w:r>
          </w:p>
        </w:tc>
      </w:tr>
      <w:tr>
        <w:trPr>
          <w:cantSplit/>
        </w:trPr>
        <w:tc>
          <w:tcPr>
            <w:tcW w:type="dxa" w:w="446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F1</w:t>
            </w:r>
          </w:p>
        </w:tc>
        <w:tc>
          <w:tcPr>
            <w:tcW w:type="dxa" w:w="27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0.240</w:t>
            </w:r>
          </w:p>
        </w:tc>
        <w:tc>
          <w:tcPr>
            <w:tcW w:type="dxa" w:w="27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0.000</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Flagged share</w:t>
            </w:r>
          </w:p>
        </w:tc>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19.04%</w:t>
            </w:r>
          </w:p>
        </w:tc>
        <w:tc>
          <w:tcPr>
            <w:tcW w:type="dxa" w:w="27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0.00%</w:t>
            </w:r>
          </w:p>
        </w:tc>
      </w:tr>
      <w:tr>
        <w:trPr>
          <w:cantSplit/>
        </w:trPr>
        <w:tc>
          <w:tcPr>
            <w:tcW w:type="dxa" w:w="446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Brier score</w:t>
            </w:r>
          </w:p>
        </w:tc>
        <w:tc>
          <w:tcPr>
            <w:tcW w:type="dxa" w:w="27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0.0945</w:t>
            </w:r>
          </w:p>
        </w:tc>
        <w:tc>
          <w:tcPr>
            <w:tcW w:type="dxa" w:w="27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0.0945</w:t>
            </w:r>
          </w:p>
        </w:tc>
      </w:tr>
    </w:tbl>
    <w:p>
      <w:pPr>
        <w:spacing w:after="0"/>
      </w:pPr>
    </w:p>
    <w:p>
      <w:r>
        <w:t>The capacity threshold 0.1305 is the validation 80th percentile, chosen to flag approximately 20% of encounters; ties and a different test distribution can change the test share. Test ROC AUC has a 95% patient-cluster bootstrap interval of 0.609–0.648 (200 resamples). The random-ranking average-precision baseline is 0.109; the constant-training-prevalence Brier baseline is 0.0972.</w:t>
      </w:r>
    </w:p>
    <w:tbl>
      <w:tblPr>
        <w:tblW w:type="auto" w:w="0"/>
        <w:jc w:val="center"/>
        <w:tblLayout w:type="fixed"/>
        <w:tblLook w:firstColumn="1" w:firstRow="1" w:lastColumn="0" w:lastRow="0" w:noHBand="0" w:noVBand="1" w:val="04A0"/>
      </w:tblPr>
      <w:tblGrid>
        <w:gridCol w:w="4320"/>
        <w:gridCol w:w="2808"/>
        <w:gridCol w:w="2808"/>
      </w:tblGrid>
      <w:tr>
        <w:trPr>
          <w:tblHeader/>
          <w:cantSplit/>
        </w:trPr>
        <w:tc>
          <w:tcPr>
            <w:tcW w:type="dxa" w:w="432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Actual outcome</w:t>
            </w:r>
          </w:p>
        </w:tc>
        <w:tc>
          <w:tcPr>
            <w:tcW w:type="dxa" w:w="280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Predicted low risk</w:t>
            </w:r>
          </w:p>
        </w:tc>
        <w:tc>
          <w:tcPr>
            <w:tcW w:type="dxa" w:w="280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Flagged high risk</w:t>
            </w:r>
          </w:p>
        </w:tc>
      </w:tr>
      <w:tr>
        <w:trPr>
          <w:cantSplit/>
        </w:trPr>
        <w:tc>
          <w:tcPr>
            <w:tcW w:type="dxa" w:w="432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No early readmission</w:t>
            </w:r>
          </w:p>
        </w:tc>
        <w:tc>
          <w:tcPr>
            <w:tcW w:type="dxa" w:w="280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7,118</w:t>
            </w:r>
          </w:p>
        </w:tc>
        <w:tc>
          <w:tcPr>
            <w:tcW w:type="dxa" w:w="280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1,494</w:t>
            </w:r>
          </w:p>
        </w:tc>
      </w:tr>
      <w:tr>
        <w:trPr>
          <w:cantSplit/>
        </w:trPr>
        <w:tc>
          <w:tcPr>
            <w:tcW w:type="dxa" w:w="43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Early readmission</w:t>
            </w:r>
          </w:p>
        </w:tc>
        <w:tc>
          <w:tcPr>
            <w:tcW w:type="dxa" w:w="28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708</w:t>
            </w:r>
          </w:p>
        </w:tc>
        <w:tc>
          <w:tcPr>
            <w:tcW w:type="dxa" w:w="28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347</w:t>
            </w:r>
          </w:p>
        </w:tc>
      </w:tr>
    </w:tbl>
    <w:p>
      <w:pPr>
        <w:spacing w:after="0"/>
      </w:pPr>
    </w:p>
    <w:p>
      <w:r>
        <w:t>At the capacity threshold, 708 early readmissions are missed. The model has limited discrimination and is an educational prioritization prototype, not a validated clinical decision rule. Use it only for a prospectively evaluated supportive-care pilot. A separate discharge-time logistic benchmark using the full-stay fields obtains test AUC 0.631; it must not be described as an admission-time model.</w:t>
      </w:r>
    </w:p>
    <w:p>
      <w:r>
        <w:t>model_fairness_audit.csv reports subgroup prevalence, flag rates, precision, recall and AUC; model_calibration.csv compares mean predicted and observed risk by score bins. Small subgroup estimates are unstable. Review calibration, subgroup recall, workload and potential harms with clinical and patient representatives before deployment; no risk score should remove access to care.</w:t>
      </w:r>
    </w:p>
    <w:p>
      <w:pPr>
        <w:pStyle w:val="Heading2"/>
      </w:pPr>
      <w:r>
        <w:t>A2 Patient segmentation</w:t>
      </w:r>
    </w:p>
    <w:p>
      <w:r>
        <w:t>Create a patient segmentation based on healthcare utilization patterns (e.g., inpatient, outpatient, emergency visits) and outcomes (e.g., readmissions).</w:t>
      </w:r>
    </w:p>
    <w:p>
      <w:r>
        <w:t>K-means uses one row per patient, with mean previous-year inpatient, outpatient and emergency counts across that patient’s recorded encounters. These overlapping retrospective counts are averaged, not summed. log1p transformation and standardization reduce skew and scale differences. Early-readmission outcomes are kept out of clustering and summarized afterward, avoiding clusters defined trivially by their own outcome.</w:t>
      </w:r>
    </w:p>
    <w:tbl>
      <w:tblPr>
        <w:tblW w:type="auto" w:w="0"/>
        <w:jc w:val="center"/>
        <w:tblLayout w:type="fixed"/>
        <w:tblLook w:firstColumn="1" w:firstRow="1" w:lastColumn="0" w:lastRow="0" w:noHBand="0" w:noVBand="1" w:val="04A0"/>
      </w:tblPr>
      <w:tblGrid>
        <w:gridCol w:w="5040"/>
        <w:gridCol w:w="4896"/>
      </w:tblGrid>
      <w:tr>
        <w:trPr>
          <w:tblHeader/>
          <w:cantSplit/>
        </w:trPr>
        <w:tc>
          <w:tcPr>
            <w:tcW w:type="dxa" w:w="504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Candidate clusters</w:t>
            </w:r>
          </w:p>
        </w:tc>
        <w:tc>
          <w:tcPr>
            <w:tcW w:type="dxa" w:w="489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Silhouette score</w:t>
            </w:r>
          </w:p>
        </w:tc>
      </w:tr>
      <w:tr>
        <w:trPr>
          <w:cantSplit/>
        </w:trPr>
        <w:tc>
          <w:tcPr>
            <w:tcW w:type="dxa" w:w="50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2</w:t>
            </w:r>
          </w:p>
        </w:tc>
        <w:tc>
          <w:tcPr>
            <w:tcW w:type="dxa" w:w="48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0.640</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3</w:t>
            </w:r>
          </w:p>
        </w:tc>
        <w:tc>
          <w:tcPr>
            <w:tcW w:type="dxa" w:w="4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0.646</w:t>
            </w:r>
          </w:p>
        </w:tc>
      </w:tr>
      <w:tr>
        <w:trPr>
          <w:cantSplit/>
        </w:trPr>
        <w:tc>
          <w:tcPr>
            <w:tcW w:type="dxa" w:w="504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4</w:t>
            </w:r>
          </w:p>
        </w:tc>
        <w:tc>
          <w:tcPr>
            <w:tcW w:type="dxa" w:w="489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0.726</w:t>
            </w:r>
          </w:p>
        </w:tc>
      </w:tr>
      <w:tr>
        <w:trPr>
          <w:cantSplit/>
        </w:trPr>
        <w:tc>
          <w:tcPr>
            <w:tcW w:type="dxa" w:w="50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5</w:t>
            </w:r>
          </w:p>
        </w:tc>
        <w:tc>
          <w:tcPr>
            <w:tcW w:type="dxa" w:w="48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0.735</w:t>
            </w:r>
          </w:p>
        </w:tc>
      </w:tr>
    </w:tbl>
    <w:p>
      <w:pPr>
        <w:spacing w:after="0"/>
      </w:pPr>
    </w:p>
    <w:p>
      <w:r>
        <w:t>The largest sampled silhouette among k=2–5 selects 5 clusters (sample size 3,000; seed 42). This is the best of these candidates, not proof of a uniquely true clinical segmentation.</w:t>
      </w:r>
    </w:p>
    <w:tbl>
      <w:tblPr>
        <w:tblW w:type="auto" w:w="0"/>
        <w:jc w:val="center"/>
        <w:tblLayout w:type="fixed"/>
        <w:tblLook w:firstColumn="1" w:firstRow="1" w:lastColumn="0" w:lastRow="0" w:noHBand="0" w:noVBand="1" w:val="04A0"/>
      </w:tblPr>
      <w:tblGrid>
        <w:gridCol w:w="1008"/>
        <w:gridCol w:w="1584"/>
        <w:gridCol w:w="1656"/>
        <w:gridCol w:w="1728"/>
        <w:gridCol w:w="1656"/>
        <w:gridCol w:w="2304"/>
      </w:tblGrid>
      <w:tr>
        <w:trPr>
          <w:tblHeader/>
          <w:cantSplit/>
        </w:trPr>
        <w:tc>
          <w:tcPr>
            <w:tcW w:type="dxa" w:w="100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Cluster</w:t>
            </w:r>
          </w:p>
        </w:tc>
        <w:tc>
          <w:tcPr>
            <w:tcW w:type="dxa" w:w="158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Patients</w:t>
            </w:r>
          </w:p>
        </w:tc>
        <w:tc>
          <w:tcPr>
            <w:tcW w:type="dxa" w:w="165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Inpatient mean</w:t>
            </w:r>
          </w:p>
        </w:tc>
        <w:tc>
          <w:tcPr>
            <w:tcW w:type="dxa" w:w="172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Outpatient mean</w:t>
            </w:r>
          </w:p>
        </w:tc>
        <w:tc>
          <w:tcPr>
            <w:tcW w:type="dxa" w:w="165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Emergency mean</w:t>
            </w:r>
          </w:p>
        </w:tc>
        <w:tc>
          <w:tcPr>
            <w:tcW w:type="dxa" w:w="2304"/>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Early encounter rate</w:t>
            </w:r>
          </w:p>
        </w:tc>
      </w:tr>
      <w:tr>
        <w:trPr>
          <w:cantSplit/>
        </w:trPr>
        <w:tc>
          <w:tcPr>
            <w:tcW w:type="dxa" w:w="100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1</w:t>
            </w:r>
          </w:p>
        </w:tc>
        <w:tc>
          <w:tcPr>
            <w:tcW w:type="dxa" w:w="158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4,553</w:t>
            </w:r>
          </w:p>
        </w:tc>
        <w:tc>
          <w:tcPr>
            <w:tcW w:type="dxa" w:w="165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0.38</w:t>
            </w:r>
          </w:p>
        </w:tc>
        <w:tc>
          <w:tcPr>
            <w:tcW w:type="dxa" w:w="172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2.31</w:t>
            </w:r>
          </w:p>
        </w:tc>
        <w:tc>
          <w:tcPr>
            <w:tcW w:type="dxa" w:w="165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0.06</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10.03%</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2</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24,672</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0.04</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0.00</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0.00</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6.88%</w:t>
            </w:r>
          </w:p>
        </w:tc>
      </w:tr>
      <w:tr>
        <w:trPr>
          <w:cantSplit/>
        </w:trPr>
        <w:tc>
          <w:tcPr>
            <w:tcW w:type="dxa" w:w="100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3</w:t>
            </w:r>
          </w:p>
        </w:tc>
        <w:tc>
          <w:tcPr>
            <w:tcW w:type="dxa" w:w="158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6,910</w:t>
            </w:r>
          </w:p>
        </w:tc>
        <w:tc>
          <w:tcPr>
            <w:tcW w:type="dxa" w:w="165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1.58</w:t>
            </w:r>
          </w:p>
        </w:tc>
        <w:tc>
          <w:tcPr>
            <w:tcW w:type="dxa" w:w="172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0.07</w:t>
            </w:r>
          </w:p>
        </w:tc>
        <w:tc>
          <w:tcPr>
            <w:tcW w:type="dxa" w:w="165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0.02</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19.55%</w:t>
            </w:r>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4</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2,417</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0.40</w:t>
            </w:r>
          </w:p>
        </w:tc>
        <w:tc>
          <w:tcPr>
            <w:tcW w:type="dxa" w:w="17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0.12</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1.15</w:t>
            </w:r>
          </w:p>
        </w:tc>
        <w:tc>
          <w:tcPr>
            <w:tcW w:type="dxa" w:w="2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11.41%</w:t>
            </w:r>
          </w:p>
        </w:tc>
      </w:tr>
      <w:tr>
        <w:trPr>
          <w:cantSplit/>
        </w:trPr>
        <w:tc>
          <w:tcPr>
            <w:tcW w:type="dxa" w:w="100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5</w:t>
            </w:r>
          </w:p>
        </w:tc>
        <w:tc>
          <w:tcPr>
            <w:tcW w:type="dxa" w:w="158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1,098</w:t>
            </w:r>
          </w:p>
        </w:tc>
        <w:tc>
          <w:tcPr>
            <w:tcW w:type="dxa" w:w="165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2.15</w:t>
            </w:r>
          </w:p>
        </w:tc>
        <w:tc>
          <w:tcPr>
            <w:tcW w:type="dxa" w:w="172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1.45</w:t>
            </w:r>
          </w:p>
        </w:tc>
        <w:tc>
          <w:tcPr>
            <w:tcW w:type="dxa" w:w="165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2.34</w:t>
            </w:r>
          </w:p>
        </w:tc>
        <w:tc>
          <w:tcPr>
            <w:tcW w:type="dxa" w:w="2304"/>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25.25%</w:t>
            </w:r>
          </w:p>
        </w:tc>
      </w:tr>
    </w:tbl>
    <w:p>
      <w:pPr>
        <w:spacing w:after="0"/>
      </w:pPr>
    </w:p>
    <w:p>
      <w:r>
        <w:t>Interpret clusters by their displayed utilization patterns: low prior utilization, mainly outpatient use, mainly inpatient use, mainly emergency use, and high use across services. Cluster numbers are arbitrary. Low-utilization patients still need universal discharge support; frequent inpatient and multi-service users warrant assessment for coordinated follow-up and unresolved access barriers. These are retrospective segments because they average across observed encounters; they are not a prospectively validated enrollment rule. patient_segments.csv also provides patient-level ever-early-readmission rates, separately from encounter rates.</w:t>
      </w:r>
    </w:p>
    <w:p>
      <w:r>
        <w:drawing>
          <wp:inline xmlns:a="http://schemas.openxmlformats.org/drawingml/2006/main" xmlns:pic="http://schemas.openxmlformats.org/drawingml/2006/picture">
            <wp:extent cx="6263640" cy="2129638"/>
            <wp:docPr id="2" name="Picture 2"/>
            <wp:cNvGraphicFramePr>
              <a:graphicFrameLocks noChangeAspect="1"/>
            </wp:cNvGraphicFramePr>
            <a:graphic>
              <a:graphicData uri="http://schemas.openxmlformats.org/drawingml/2006/picture">
                <pic:pic>
                  <pic:nvPicPr>
                    <pic:cNvPr id="0" name="model_segments.png"/>
                    <pic:cNvPicPr/>
                  </pic:nvPicPr>
                  <pic:blipFill>
                    <a:blip r:embed="rId11"/>
                    <a:stretch>
                      <a:fillRect/>
                    </a:stretch>
                  </pic:blipFill>
                  <pic:spPr>
                    <a:xfrm>
                      <a:off x="0" y="0"/>
                      <a:ext cx="6263640" cy="2129638"/>
                    </a:xfrm>
                    <a:prstGeom prst="rect"/>
                  </pic:spPr>
                </pic:pic>
              </a:graphicData>
            </a:graphic>
          </wp:inline>
        </w:drawing>
      </w:r>
    </w:p>
    <w:p>
      <w:r>
        <w:t>Figure 2. Test-set calibration and descriptive patient-cluster outcomes.</w:t>
      </w:r>
    </w:p>
    <w:p>
      <w:pPr>
        <w:pStyle w:val="Heading2"/>
      </w:pPr>
      <w:r>
        <w:t>A3 Financial and avoidability assessment</w:t>
      </w:r>
    </w:p>
    <w:p>
      <w:r>
        <w:t>Evaluate the financial impact of readmissions on the hospital. Include an analysis of avoidable vs. unavoidable readmissions.</w:t>
      </w:r>
    </w:p>
    <w:p>
      <w:r>
        <w:t>Actual financial impact and the avoidable fraction are not estimable. The upload has no costs, reimbursement, intervention expenditure or clinician-adjudicated avoidability labels. An early readmission is not automatically avoidable. Obtain readmission-linked cost records, eligible discharge definitions, and blinded clinical review under a documented avoidability framework.</w:t>
      </w:r>
    </w:p>
    <w:p>
      <w:r>
        <w:t>A transparent scenario can be specified without inventing monetary results: gross avoided cost = eligible discharges × baseline early-readmission rate × program coverage × assumed relative risk reduction × attributable cost per readmission. Net savings subtract program costs. For avoidable events, count the adjudicated avoidable subset separately; do not multiply by an assumed avoidable share and present it as an observed statistic. Use this sample’s 11.20% baseline only as a classroom assumption, not as a current hospital budget estimate.</w:t>
      </w:r>
    </w:p>
    <w:p>
      <w:pPr>
        <w:pStyle w:val="Heading2"/>
      </w:pPr>
      <w:r>
        <w:t>A4 Social determinants and equitable support</w:t>
      </w:r>
    </w:p>
    <w:p>
      <w:r>
        <w:t>Investigate the role of social determinants of health (e.g., race, socioeconomic status) in readmission rates and develop targeted intervention strategies.</w:t>
      </w:r>
    </w:p>
    <w:p>
      <w:r>
        <w:t>Only a limited demographic association analysis is supported. Race is observed for most encounters, but income, deprivation, insurance, education, housing, transport, language and residential geography are absent. Without a defensible geographic or consented patient linkage, external socioeconomic values cannot be assigned. Race is not a substitute for socioeconomic status. The observed race/gender rates in B7 and subgroup model metrics identify questions for investigation, not causal explanations.</w:t>
      </w:r>
    </w:p>
    <w:p>
      <w:r>
        <w:t>Proposed supports are universal needs screening, interpreter access, transport coordination, medication-affordability review and assistance arranging follow-up, with additional support based on assessed barriers. Monitor enrollment, successful contact, follow-up completion and outcomes across demographic groups. Do not deny care based on race or a risk score. A local prospective evaluation must test both benefits and inequities.</w:t>
      </w:r>
    </w:p>
    <w:p>
      <w:pPr>
        <w:pStyle w:val="Heading2"/>
      </w:pPr>
      <w:r>
        <w:t>A5 Post discharge follow up program and impact scenario</w:t>
      </w:r>
    </w:p>
    <w:p>
      <w:r>
        <w:t>Design a comprehensive post-discharge follow-up program based on insights gathered from the data analysis. Assess its potential impact on reducing readmissions.</w:t>
      </w:r>
    </w:p>
    <w:p>
      <w:r>
        <w:t>Proposed program: before discharge, a nurse coordinates an understandable written care plan, a pharmacist reconciles medicines, and staff confirm appointments, home support and any pending results. A clinical staff member calls within 2–3 days to check understanding, medicines, symptoms, appointments and access barriers. This timing and call content follow AHRQ’s Re-Engineered Discharge guidance. [5]</w:t>
      </w:r>
    </w:p>
    <w:p>
      <w:r>
        <w:t>Local pilot choices: offer basic follow-up to every eligible discharge, prioritize additional coordinator time for frequent inpatient/multi-service users and clinically assessed needs, and trial the model score at the validation-selected threshold only after clinical review. Arrange early clinician follow-up according to need and local capacity, confirm unresolved issues within 7 days, and record outcomes through day 30. Escalation follows hospital protocols; the dataset cannot specify individual treatment.</w:t>
      </w:r>
    </w:p>
    <w:tbl>
      <w:tblPr>
        <w:tblW w:type="auto" w:w="0"/>
        <w:jc w:val="center"/>
        <w:tblLayout w:type="fixed"/>
        <w:tblLook w:firstColumn="1" w:firstRow="1" w:lastColumn="0" w:lastRow="0" w:noHBand="0" w:noVBand="1" w:val="04A0"/>
      </w:tblPr>
      <w:tblGrid>
        <w:gridCol w:w="2592"/>
        <w:gridCol w:w="2520"/>
        <w:gridCol w:w="2448"/>
        <w:gridCol w:w="2376"/>
      </w:tblGrid>
      <w:tr>
        <w:trPr>
          <w:tblHeader/>
          <w:cantSplit/>
        </w:trPr>
        <w:tc>
          <w:tcPr>
            <w:tcW w:type="dxa" w:w="2592"/>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Assumed relative reduction</w:t>
            </w:r>
          </w:p>
        </w:tc>
        <w:tc>
          <w:tcPr>
            <w:tcW w:type="dxa" w:w="252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Scenario early events avoided</w:t>
            </w:r>
          </w:p>
        </w:tc>
        <w:tc>
          <w:tcPr>
            <w:tcW w:type="dxa" w:w="2448"/>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Scenario events remaining</w:t>
            </w:r>
          </w:p>
        </w:tc>
        <w:tc>
          <w:tcPr>
            <w:tcW w:type="dxa" w:w="237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Scenario rate</w:t>
            </w:r>
          </w:p>
        </w:tc>
      </w:tr>
      <w:tr>
        <w:trPr>
          <w:cantSplit/>
        </w:trPr>
        <w:tc>
          <w:tcPr>
            <w:tcW w:type="dxa" w:w="259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5.00%</w:t>
            </w:r>
          </w:p>
        </w:tc>
        <w:tc>
          <w:tcPr>
            <w:tcW w:type="dxa" w:w="252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273.9</w:t>
            </w:r>
          </w:p>
        </w:tc>
        <w:tc>
          <w:tcPr>
            <w:tcW w:type="dxa" w:w="244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5205.1</w:t>
            </w:r>
          </w:p>
        </w:tc>
        <w:tc>
          <w:tcPr>
            <w:tcW w:type="dxa" w:w="237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10.64%</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10.00%</w:t>
            </w:r>
          </w:p>
        </w:tc>
        <w:tc>
          <w:tcPr>
            <w:tcW w:type="dxa" w:w="252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547.9</w:t>
            </w:r>
          </w:p>
        </w:tc>
        <w:tc>
          <w:tcPr>
            <w:tcW w:type="dxa" w:w="244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4931.1</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10.08%</w:t>
            </w:r>
          </w:p>
        </w:tc>
      </w:tr>
      <w:tr>
        <w:trPr>
          <w:cantSplit/>
        </w:trPr>
        <w:tc>
          <w:tcPr>
            <w:tcW w:type="dxa" w:w="2592"/>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15.00%</w:t>
            </w:r>
          </w:p>
        </w:tc>
        <w:tc>
          <w:tcPr>
            <w:tcW w:type="dxa" w:w="252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821.9</w:t>
            </w:r>
          </w:p>
        </w:tc>
        <w:tc>
          <w:tcPr>
            <w:tcW w:type="dxa" w:w="2448"/>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4657.1</w:t>
            </w:r>
          </w:p>
        </w:tc>
        <w:tc>
          <w:tcPr>
            <w:tcW w:type="dxa" w:w="237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9.52%</w:t>
            </w:r>
          </w:p>
        </w:tc>
      </w:tr>
    </w:tbl>
    <w:p>
      <w:pPr>
        <w:spacing w:after="0"/>
      </w:pPr>
    </w:p>
    <w:p>
      <w:r>
        <w:t>These are hypothetical expected values at 100% coverage of the 48,911 analysed encounters. For example, 10% relative reduction means a reduction from 11.20% to 10.08%, not a 10-percentage-point fall. With coverage c, multiply avoided events by c if the same effect applies to covered encounters. Model precision, cluster rates and observational correlations do not estimate intervention benefit.</w:t>
      </w:r>
    </w:p>
    <w:p>
      <w:r>
        <w:t>Evaluate the pilot with randomized or otherwise carefully controlled rollout, an eligible-discharge denominator, complete 30-day ascertainment and prespecified exclusions. Measure risk-adjusted early readmissions, emergency visits, mortality as a balancing outcome, patient experience, successful contact, appointment completion, workload and actual costs. A contemporaneous comparison is essential; a simple before/after drop could reflect changing case mix or secular trends.</w:t>
      </w:r>
    </w:p>
    <w:p>
      <w:r>
        <w:br w:type="page"/>
      </w:r>
    </w:p>
    <w:p>
      <w:pPr>
        <w:pStyle w:val="Heading1"/>
      </w:pPr>
      <w:r>
        <w:t>Reproducibility and corrected data dictionary</w:t>
      </w:r>
    </w:p>
    <w:p>
      <w:r>
        <w:t>The accompanying analysis script reproduces cleaning, source-label verification, every aggregate table, clustered tests, model evaluation and segmentation. It downloads the original UCI label file once and reuses a local cache. Supply the uploaded CSV using --data. No row-level patient predictions or patient identifiers are included in the exported result tables.</w:t>
      </w:r>
    </w:p>
    <w:tbl>
      <w:tblPr>
        <w:tblW w:type="auto" w:w="0"/>
        <w:jc w:val="center"/>
        <w:tblLayout w:type="fixed"/>
        <w:tblLook w:firstColumn="1" w:firstRow="1" w:lastColumn="0" w:lastRow="0" w:noHBand="0" w:noVBand="1" w:val="04A0"/>
      </w:tblPr>
      <w:tblGrid>
        <w:gridCol w:w="3600"/>
        <w:gridCol w:w="6336"/>
      </w:tblGrid>
      <w:tr>
        <w:trPr>
          <w:tblHeader/>
          <w:cantSplit/>
        </w:trPr>
        <w:tc>
          <w:tcPr>
            <w:tcW w:type="dxa" w:w="3600"/>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color w:val="FFFFFF"/>
                <w:sz w:val="19"/>
              </w:rPr>
              <w:t>Field or group</w:t>
            </w:r>
          </w:p>
        </w:tc>
        <w:tc>
          <w:tcPr>
            <w:tcW w:type="dxa" w:w="6336"/>
            <w:vAlign w:val="center"/>
            <w:shd w:fill="17324D"/>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color w:val="FFFFFF"/>
                <w:sz w:val="19"/>
              </w:rPr>
              <w:t>Meaning and treatment</w:t>
            </w:r>
          </w:p>
        </w:tc>
      </w:tr>
      <w:tr>
        <w:trPr>
          <w:cantSplit/>
        </w:trPr>
        <w:tc>
          <w:tcPr>
            <w:tcW w:type="dxa" w:w="360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index</w:t>
            </w:r>
          </w:p>
        </w:tc>
        <w:tc>
          <w:tcPr>
            <w:tcW w:type="dxa" w:w="63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Export identifier; excluded from predictors.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encounter_id / patient_id</w:t>
            </w:r>
          </w:p>
        </w:tc>
        <w:tc>
          <w:tcPr>
            <w:tcW w:type="dxa" w:w="63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Encounter identity / patient grouping; source matches verified; not predictors.</w:t>
            </w:r>
          </w:p>
        </w:tc>
      </w:tr>
      <w:tr>
        <w:trPr>
          <w:cantSplit/>
        </w:trPr>
        <w:tc>
          <w:tcPr>
            <w:tcW w:type="dxa" w:w="360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race / gender / age</w:t>
            </w:r>
          </w:p>
        </w:tc>
        <w:tc>
          <w:tcPr>
            <w:tcW w:type="dxa" w:w="63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Recorded demographics; age is a band.</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weight</w:t>
            </w:r>
          </w:p>
        </w:tc>
        <w:tc>
          <w:tcPr>
            <w:tcW w:type="dxa" w:w="63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Recorded category with 96.82% missing; no imputation.</w:t>
            </w:r>
          </w:p>
        </w:tc>
      </w:tr>
      <w:tr>
        <w:trPr>
          <w:cantSplit/>
        </w:trPr>
        <w:tc>
          <w:tcPr>
            <w:tcW w:type="dxa" w:w="360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time_in_hospital</w:t>
            </w:r>
          </w:p>
        </w:tc>
        <w:tc>
          <w:tcPr>
            <w:tcW w:type="dxa" w:w="63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Full-stay duration in days; discharge-time only.</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medical_specialty</w:t>
            </w:r>
          </w:p>
        </w:tc>
        <w:tc>
          <w:tcPr>
            <w:tcW w:type="dxa" w:w="63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Admitting physician specialty; Unknown retained.</w:t>
            </w:r>
          </w:p>
        </w:tc>
      </w:tr>
      <w:tr>
        <w:trPr>
          <w:cantSplit/>
        </w:trPr>
        <w:tc>
          <w:tcPr>
            <w:tcW w:type="dxa" w:w="360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num_lab_procedures / num_procedures / num_medications</w:t>
            </w:r>
          </w:p>
        </w:tc>
        <w:tc>
          <w:tcPr>
            <w:tcW w:type="dxa" w:w="63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Full-stay procedure and medication counts; not admission-time predictors.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number_inpatient / number_outpatient / number_emergency</w:t>
            </w:r>
          </w:p>
        </w:tc>
        <w:tc>
          <w:tcPr>
            <w:tcW w:type="dxa" w:w="63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Previous-year utilization counts.</w:t>
            </w:r>
          </w:p>
        </w:tc>
      </w:tr>
      <w:tr>
        <w:trPr>
          <w:cantSplit/>
        </w:trPr>
        <w:tc>
          <w:tcPr>
            <w:tcW w:type="dxa" w:w="360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diag_1 / diag_2 / diag_3</w:t>
            </w:r>
          </w:p>
        </w:tc>
        <w:tc>
          <w:tcPr>
            <w:tcW w:type="dxa" w:w="63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Recorded diagnosis codes; identity retained without fabricated labels.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diag_4 / diag_5</w:t>
            </w:r>
          </w:p>
        </w:tc>
        <w:tc>
          <w:tcPr>
            <w:tcW w:type="dxa" w:w="63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Exact duplicate of diag_3 / unexplained continuous field; both excluded from models.</w:t>
            </w:r>
          </w:p>
        </w:tc>
      </w:tr>
      <w:tr>
        <w:trPr>
          <w:cantSplit/>
        </w:trPr>
        <w:tc>
          <w:tcPr>
            <w:tcW w:type="dxa" w:w="360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number_diagnoses</w:t>
            </w:r>
          </w:p>
        </w:tc>
        <w:tc>
          <w:tcPr>
            <w:tcW w:type="dxa" w:w="63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Recorded diagnosis count; proxy for burden, not a validated comorbidity score.</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X1 to X25</w:t>
            </w:r>
          </w:p>
        </w:tc>
        <w:tc>
          <w:tcPr>
            <w:tcW w:type="dxa" w:w="63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Anonymous state-coded variables; no verified drug-name mapping.</w:t>
            </w:r>
          </w:p>
        </w:tc>
      </w:tr>
      <w:tr>
        <w:trPr>
          <w:cantSplit/>
        </w:trPr>
        <w:tc>
          <w:tcPr>
            <w:tcW w:type="dxa" w:w="360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change / diabetesMed</w:t>
            </w:r>
          </w:p>
        </w:tc>
        <w:tc>
          <w:tcPr>
            <w:tcW w:type="dxa" w:w="63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Ch mapped to Yes for medication changes / any diabetic medication prescribed.</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uploaded_readmitted</w:t>
            </w:r>
          </w:p>
        </w:tc>
        <w:tc>
          <w:tcPr>
            <w:tcW w:type="dxa" w:w="633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Original upload flag: any recorded readmission, early or later.</w:t>
            </w:r>
          </w:p>
        </w:tc>
      </w:tr>
      <w:tr>
        <w:trPr>
          <w:cantSplit/>
        </w:trPr>
        <w:tc>
          <w:tcPr>
            <w:tcW w:type="dxa" w:w="3600"/>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color w:val="000000"/>
                <w:sz w:val="19"/>
              </w:rPr>
              <w:t>readmitted in analysis outputs</w:t>
            </w:r>
          </w:p>
        </w:tc>
        <w:tc>
          <w:tcPr>
            <w:tcW w:type="dxa" w:w="6336"/>
            <w:vAlign w:val="center"/>
            <w:shd w:fill="EFF4F7"/>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jc w:val="center"/>
            </w:pPr>
            <w:r>
              <w:rPr>
                <w:b w:val="0"/>
                <w:color w:val="000000"/>
                <w:sz w:val="19"/>
              </w:rPr>
              <w:t>Corrected early outcome from UCI &lt;30, matched by encounter and patient IDs.</w:t>
            </w:r>
          </w:p>
        </w:tc>
      </w:tr>
    </w:tbl>
    <w:p>
      <w:pPr>
        <w:spacing w:after="0"/>
      </w:pPr>
    </w:p>
    <w:p>
      <w:r>
        <w:t>Run example: python analyze_hospital.py --data "HA Data(1).csv" --out results</w:t>
      </w:r>
    </w:p>
    <w:p>
      <w:r>
        <w:t>Recorded runtime: Python 3.12.14, pandas 2.2.3, scipy 1.17.0, scikit-learn 1.8.0. Seeds and hyperparameters are fixed in the script. Patient-clustered inference uses an explicit sandwich covariance calculation, finite-sample correction and t tests with G−1 degrees of freedom; omnibus comparisons use Wald chi-square tests. The patient-bootstrap AUC interval is conditional on the fitted model, not a full retraining uncertainty interval.</w:t>
      </w:r>
    </w:p>
    <w:p>
      <w:r>
        <w:t>Result files include the full tables for every group, X-variable comparisons, the label cross-tabulation, model calibration, fairness metrics and segment profiles. results.json holds all reported statistics. The raw source and uploaded data are not duplicated in the delivery package. Predictions and intervention effects require prospective validation in a current local population.</w:t>
      </w:r>
    </w:p>
    <w:p>
      <w:pPr>
        <w:pStyle w:val="Heading1"/>
      </w:pPr>
      <w:r>
        <w:t>References</w:t>
      </w:r>
    </w:p>
    <w:p>
      <w:r>
        <w:t>[1] Original dataset and documentation. Clore, Cios, DeShazo and Strack. Diabetes 130-US Hospitals for Years 1999–2008. UCI Machine Learning Repository. DOI 10.24432/C5230J. https://archive.ics.uci.edu/dataset/296/diabetes+130-us+hospitals+for+years+1999-2008</w:t>
      </w:r>
    </w:p>
    <w:p>
      <w:r>
        <w:t>[2] Assignment and supplied data. Reducing Readmissions A Data Analytics Case Study for Improved Patient Care, supplied case-study text; HA Data(1).csv. The assignment links https://www.kaggle.com/datasets/shivavashishtha/hospital-administration-data/. The assignment binary label definition was contradicted by exact matching to the UCI source; see the provenance cross-tabulation.</w:t>
      </w:r>
    </w:p>
    <w:p>
      <w:r>
        <w:t>[3] Cluster robust covariance. statsmodels documentation, single-cluster sandwich covariance with small-sample correction. https://www.statsmodels.org/stable/generated/statsmodels.stats.sandwich_covariance.cov_cluster.html</w:t>
      </w:r>
    </w:p>
    <w:p>
      <w:r>
        <w:t>[4] Group-aware model partitioning. scikit-learn documentation, GroupShuffleSplit. https://scikit-learn.org/stable/modules/generated/sklearn.model_selection.GroupShuffleSplit.html</w:t>
      </w:r>
    </w:p>
    <w:p>
      <w:r>
        <w:t>[5] Follow-up program reference. Agency for Healthcare Research and Quality. Re-Engineered Discharge Toolkit, Tool 5 How To Conduct a Postdischarge Followup Phone Call. https://www.ahrq.gov/patient-safety/settings/hospital/red/toolkit/redtool5.html</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Readmission Analytics Solution Guide</dc:title>
  <dc:subject/>
  <dc:creator>Omkar Mahabdi</dc:creator>
  <cp:keywords/>
  <dc:description>generated by python-docx</dc:description>
  <cp:lastModifiedBy/>
  <cp:revision>1</cp:revision>
  <dcterms:created xsi:type="dcterms:W3CDTF">2013-12-23T23:15:00Z</dcterms:created>
  <dcterms:modified xsi:type="dcterms:W3CDTF">2013-12-23T23:15:00Z</dcterms:modified>
  <cp:category/>
</cp:coreProperties>
</file>