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Hotel Booking Analysis</w:t>
      </w:r>
    </w:p>
    <w:p>
      <w:pPr>
        <w:pStyle w:val="Subtitle"/>
      </w:pPr>
      <w:r>
        <w:t>Solution guide for the 25 assignment questions</w:t>
      </w:r>
    </w:p>
    <w:p>
      <w:pPr>
        <w:pStyle w:val="Heading1"/>
      </w:pPr>
      <w:r>
        <w:t>What the records show</w:t>
      </w:r>
    </w:p>
    <w:p>
      <w:r>
        <w:t>The sample contains 119,390 booking records scheduled to arrive from July 2015 through August 2017. Just over 37% carry the canceled flag. City Hotel has more records and a higher cancellation rate than Resort Hotel. Longer advance booking is associated with more cancellations, while repeat-guest bookings cancel less often.</w:t>
      </w:r>
    </w:p>
    <w:p>
      <w:r>
        <w:t>The most useful next step is to study long-lead bookings and channel-specific cancellation patterns. The findings support targeted investigation and a measured pilot. They do not establish that changing a deposit rule, accepting more requests or increasing prices will cause better results.</w:t>
      </w:r>
    </w:p>
    <w:p>
      <w:r>
        <w:drawing>
          <wp:inline xmlns:a="http://schemas.openxmlformats.org/drawingml/2006/main" xmlns:pic="http://schemas.openxmlformats.org/drawingml/2006/picture">
            <wp:extent cx="5760720" cy="2633472"/>
            <wp:docPr id="1" name="Picture 1"/>
            <wp:cNvGraphicFramePr>
              <a:graphicFrameLocks noChangeAspect="1"/>
            </wp:cNvGraphicFramePr>
            <a:graphic>
              <a:graphicData uri="http://schemas.openxmlformats.org/drawingml/2006/picture">
                <pic:pic>
                  <pic:nvPicPr>
                    <pic:cNvPr id="0" name="hotel_bookings.png"/>
                    <pic:cNvPicPr/>
                  </pic:nvPicPr>
                  <pic:blipFill>
                    <a:blip r:embed="rId9"/>
                    <a:stretch>
                      <a:fillRect/>
                    </a:stretch>
                  </pic:blipFill>
                  <pic:spPr>
                    <a:xfrm>
                      <a:off x="0" y="0"/>
                      <a:ext cx="5760720" cy="2633472"/>
                    </a:xfrm>
                    <a:prstGeom prst="rect"/>
                  </pic:spPr>
                </pic:pic>
              </a:graphicData>
            </a:graphic>
          </wp:inline>
        </w:drawing>
      </w:r>
    </w:p>
    <w:p>
      <w:r>
        <w:t>All 25 questions are addressed below. Revenue is reported as an estimated lodging value, and special requests are treated as service demand. Actual occupancy, accounting revenue and guest satisfaction require data that is not included in this file.</w:t>
      </w:r>
    </w:p>
    <w:p>
      <w:pPr>
        <w:pStyle w:val="Heading1"/>
        <w:pageBreakBefore/>
      </w:pPr>
      <w:r>
        <w:t>Preparing the data</w:t>
      </w:r>
    </w:p>
    <w:tbl>
      <w:tblPr>
        <w:tblW w:type="auto" w:w="0"/>
        <w:jc w:val="center"/>
        <w:tblLayout w:type="fixed"/>
        <w:tblLook w:firstColumn="1" w:firstRow="1" w:lastColumn="0" w:lastRow="0" w:noHBand="0" w:noVBand="1" w:val="04A0"/>
      </w:tblPr>
      <w:tblGrid>
        <w:gridCol w:w="7776"/>
        <w:gridCol w:w="2448"/>
      </w:tblGrid>
      <w:tr>
        <w:trPr>
          <w:tblHeader/>
          <w:cantSplit/>
        </w:trPr>
        <w:tc>
          <w:tcPr>
            <w:tcW w:type="dxa" w:w="7776"/>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Item</w:t>
            </w:r>
          </w:p>
        </w:tc>
        <w:tc>
          <w:tcPr>
            <w:tcW w:type="dxa" w:w="244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Records</w:t>
            </w:r>
          </w:p>
        </w:tc>
      </w:tr>
      <w:tr>
        <w:trPr>
          <w:cantSplit/>
        </w:trPr>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Source booking records</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119,390</w:t>
            </w:r>
          </w:p>
        </w:tc>
      </w:tr>
      <w:tr>
        <w:trPr>
          <w:cantSplit/>
        </w:trPr>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Identical later rows retained</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31,994</w:t>
            </w:r>
          </w:p>
        </w:tc>
      </w:tr>
      <w:tr>
        <w:trPr>
          <w:cantSplit/>
        </w:trPr>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Rows if exact duplicates were removed</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87,396</w:t>
            </w:r>
          </w:p>
        </w:tc>
      </w:tr>
      <w:tr>
        <w:trPr>
          <w:cantSplit/>
        </w:trPr>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Missing children counts</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4</w:t>
            </w:r>
          </w:p>
        </w:tc>
      </w:tr>
      <w:tr>
        <w:trPr>
          <w:cantSplit/>
        </w:trPr>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Unknown countries</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488</w:t>
            </w:r>
          </w:p>
        </w:tc>
      </w:tr>
      <w:tr>
        <w:trPr>
          <w:cantSplit/>
        </w:trPr>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Records with zero guests</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180</w:t>
            </w:r>
          </w:p>
        </w:tc>
      </w:tr>
      <w:tr>
        <w:trPr>
          <w:cantSplit/>
        </w:trPr>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Records with zero nights</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715</w:t>
            </w:r>
          </w:p>
        </w:tc>
      </w:tr>
      <w:tr>
        <w:trPr>
          <w:cantSplit/>
        </w:trPr>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Negative ADR records</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w:t>
            </w:r>
          </w:p>
        </w:tc>
      </w:tr>
      <w:tr>
        <w:trPr>
          <w:cantSplit/>
        </w:trPr>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ADR records above 1000</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w:t>
            </w:r>
          </w:p>
        </w:tc>
      </w:tr>
    </w:tbl>
    <w:p>
      <w:pPr>
        <w:spacing w:after="0"/>
      </w:pPr>
    </w:p>
    <w:p>
      <w:r>
        <w:t>Identical rows remain in the primary analysis. The source paper describes one observation per booking, and there is no booking ID to verify which identical rows are redundant. Removing them reduces the cancellation rate from 37.04% to 27.49% and mean lead time from 104.01 to 79.89 days. That is a material change, so the separate sensitivity table is included rather than silently replacing the source population.</w:t>
      </w:r>
    </w:p>
    <w:p>
      <w:r>
        <w:t>Four missing children counts stay unknown. They are excluded only when guest composition is needed. Missing country becomes Unknown. NULL agent and company IDs mean not applicable, following the source documentation, and remain empty identifiers. Dates are parsed, total nights are calculated, and anomalous records are flagged instead of erased from descriptive counts.</w:t>
      </w:r>
    </w:p>
    <w:p>
      <w:r>
        <w:t>The one negative ADR of -6.38 and one ADR of 5,400 remain in the requested descriptive means. The negative value is excluded from the lodging-value proxy and ADR regression. A separate regression caps ADR at its eligible-sample 99th percentile, 252.00, to test sensitivity to high rates.</w:t>
      </w:r>
    </w:p>
    <w:p>
      <w:pPr>
        <w:pStyle w:val="Heading1"/>
        <w:pageBreakBefore/>
      </w:pPr>
      <w:r>
        <w:t>Booking lead time and service demand</w:t>
      </w:r>
    </w:p>
    <w:p>
      <w:pPr>
        <w:pStyle w:val="Heading2"/>
      </w:pPr>
      <w:r>
        <w:t>B01 Average booking lead time</w:t>
      </w:r>
    </w:p>
    <w:p>
      <w:r>
        <w:t>The average lead time is 104.01 days, while the median is 69 days. The higher mean shows that some bookings made far in advance pull the average upward. These are days from booking entry to scheduled arrival, including bookings that later canceled.</w:t>
      </w:r>
    </w:p>
    <w:p>
      <w:pPr>
        <w:spacing w:after="180"/>
      </w:pPr>
      <w:r>
        <w:t>Calculation: Average lead_time across all 119,390 records.</w:t>
      </w:r>
    </w:p>
    <w:p>
      <w:pPr>
        <w:pStyle w:val="Heading2"/>
      </w:pPr>
      <w:r>
        <w:t>B02 Bookings by hotel type</w:t>
      </w:r>
    </w:p>
    <w:p>
      <w:r>
        <w:t>City Hotel has 79,330 records, or 66.45% of the sample. Resort Hotel has 40,060, or 33.55%. This compares two properties with different capacity and business mixes. It does not establish that city hotels are more popular across the industry.</w:t>
      </w:r>
    </w:p>
    <w:p>
      <w:pPr>
        <w:spacing w:after="180"/>
      </w:pPr>
      <w:r>
        <w:t>Calculation: Count records by hotel.</w:t>
      </w:r>
    </w:p>
    <w:p>
      <w:pPr>
        <w:pStyle w:val="Heading2"/>
      </w:pPr>
      <w:r>
        <w:t>B03 Canceled bookings</w:t>
      </w:r>
    </w:p>
    <w:p>
      <w:r>
        <w:t>The is_canceled flag identifies 44,224 records, giving a cancellation rate of 37.04%. The final status splits these into 43,017 Canceled and 1,207 No-Show records. The project uses the supplied flag consistently, so no-shows are included in cancellation totals.</w:t>
      </w:r>
    </w:p>
    <w:p>
      <w:pPr>
        <w:spacing w:after="180"/>
      </w:pPr>
      <w:r>
        <w:t>Calculation: Sum is_canceled; divide by the record count.</w:t>
      </w:r>
    </w:p>
    <w:p>
      <w:pPr>
        <w:pStyle w:val="Heading2"/>
      </w:pPr>
      <w:r>
        <w:t>B05 Special requests per booking</w:t>
      </w:r>
    </w:p>
    <w:p>
      <w:r>
        <w:t>Bookings average 0.571 special requests. Most records have none: 70,318 of 119,390, or 58.90%. Requests can help estimate service workload, but their count does not measure whether the guest was satisfied or whether the request was fulfilled.</w:t>
      </w:r>
    </w:p>
    <w:p>
      <w:pPr>
        <w:spacing w:after="180"/>
      </w:pPr>
      <w:r>
        <w:t>Calculation: Average total_of_special_requests.</w:t>
      </w:r>
    </w:p>
    <w:tbl>
      <w:tblPr>
        <w:tblW w:type="auto" w:w="0"/>
        <w:jc w:val="center"/>
        <w:tblLayout w:type="fixed"/>
        <w:tblLook w:firstColumn="1" w:firstRow="1" w:lastColumn="0" w:lastRow="0" w:noHBand="0" w:noVBand="1" w:val="04A0"/>
      </w:tblPr>
      <w:tblGrid>
        <w:gridCol w:w="7776"/>
        <w:gridCol w:w="2448"/>
      </w:tblGrid>
      <w:tr>
        <w:trPr>
          <w:tblHeader/>
          <w:cantSplit/>
        </w:trPr>
        <w:tc>
          <w:tcPr>
            <w:tcW w:type="dxa" w:w="7776"/>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Final status</w:t>
            </w:r>
          </w:p>
        </w:tc>
        <w:tc>
          <w:tcPr>
            <w:tcW w:type="dxa" w:w="244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Records</w:t>
            </w:r>
          </w:p>
        </w:tc>
      </w:tr>
      <w:tr>
        <w:trPr>
          <w:cantSplit/>
        </w:trPr>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Check-Out</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75,166</w:t>
            </w:r>
          </w:p>
        </w:tc>
      </w:tr>
      <w:tr>
        <w:trPr>
          <w:cantSplit/>
        </w:trPr>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Canceled</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43,017</w:t>
            </w:r>
          </w:p>
        </w:tc>
      </w:tr>
      <w:tr>
        <w:trPr>
          <w:cantSplit/>
        </w:trPr>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No-Show</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1,207</w:t>
            </w:r>
          </w:p>
        </w:tc>
      </w:tr>
    </w:tbl>
    <w:p>
      <w:pPr>
        <w:spacing w:after="0"/>
      </w:pPr>
    </w:p>
    <w:p>
      <w:pPr>
        <w:pStyle w:val="Heading1"/>
        <w:pageBreakBefore/>
      </w:pPr>
      <w:r>
        <w:t>Arrival months and guest origin</w:t>
      </w:r>
    </w:p>
    <w:p>
      <w:pPr>
        <w:pStyle w:val="Heading2"/>
      </w:pPr>
      <w:r>
        <w:t>B04 Most common arrival month</w:t>
      </w:r>
    </w:p>
    <w:p>
      <w:r>
        <w:t>August has the most scheduled arrivals in the pooled sample, with 13,877 bookings. July and August each occur in three years; the other months occur in two. After dividing by the number of observed year-months, May leads with 5,895.5 records per observed May. Use the pooled answer for the assignment, and the coverage-adjusted view for planning.</w:t>
      </w:r>
    </w:p>
    <w:p>
      <w:pPr>
        <w:spacing w:after="180"/>
      </w:pPr>
      <w:r>
        <w:t>Calculation: Count arrival_date_month; also divide counts by observed year-months.</w:t>
      </w:r>
    </w:p>
    <w:p>
      <w:r>
        <w:drawing>
          <wp:inline xmlns:a="http://schemas.openxmlformats.org/drawingml/2006/main" xmlns:pic="http://schemas.openxmlformats.org/drawingml/2006/picture">
            <wp:extent cx="5394960" cy="2543338"/>
            <wp:docPr id="2" name="Picture 2"/>
            <wp:cNvGraphicFramePr>
              <a:graphicFrameLocks noChangeAspect="1"/>
            </wp:cNvGraphicFramePr>
            <a:graphic>
              <a:graphicData uri="http://schemas.openxmlformats.org/drawingml/2006/picture">
                <pic:pic>
                  <pic:nvPicPr>
                    <pic:cNvPr id="0" name="arrival_months.png"/>
                    <pic:cNvPicPr/>
                  </pic:nvPicPr>
                  <pic:blipFill>
                    <a:blip r:embed="rId10"/>
                    <a:stretch>
                      <a:fillRect/>
                    </a:stretch>
                  </pic:blipFill>
                  <pic:spPr>
                    <a:xfrm>
                      <a:off x="0" y="0"/>
                      <a:ext cx="5394960" cy="2543338"/>
                    </a:xfrm>
                    <a:prstGeom prst="rect"/>
                  </pic:spPr>
                </pic:pic>
              </a:graphicData>
            </a:graphic>
          </wp:inline>
        </w:drawing>
      </w:r>
    </w:p>
    <w:p>
      <w:pPr>
        <w:pStyle w:val="Heading2"/>
      </w:pPr>
      <w:r>
        <w:t>B06 Country with the most bookings</w:t>
      </w:r>
    </w:p>
    <w:p>
      <w:r>
        <w:t>PRT, the code for Portugal, has the most records: 48,590, or 40.70% of all bookings. Country is unknown for 488 records and stays separate from known countries. This is a booking-level count, not a count of unique guests.</w:t>
      </w:r>
    </w:p>
    <w:p>
      <w:pPr>
        <w:spacing w:after="180"/>
      </w:pPr>
      <w:r>
        <w:t>Calculation: Count country labels; retain missing country as Unknown.</w:t>
      </w:r>
    </w:p>
    <w:tbl>
      <w:tblPr>
        <w:tblW w:type="auto" w:w="0"/>
        <w:jc w:val="center"/>
        <w:tblLayout w:type="fixed"/>
        <w:tblLook w:firstColumn="1" w:firstRow="1" w:lastColumn="0" w:lastRow="0" w:noHBand="0" w:noVBand="1" w:val="04A0"/>
      </w:tblPr>
      <w:tblGrid>
        <w:gridCol w:w="7776"/>
        <w:gridCol w:w="2448"/>
      </w:tblGrid>
      <w:tr>
        <w:trPr>
          <w:tblHeader/>
          <w:cantSplit/>
        </w:trPr>
        <w:tc>
          <w:tcPr>
            <w:tcW w:type="dxa" w:w="7776"/>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Country code</w:t>
            </w:r>
          </w:p>
        </w:tc>
        <w:tc>
          <w:tcPr>
            <w:tcW w:type="dxa" w:w="244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Bookings</w:t>
            </w:r>
          </w:p>
        </w:tc>
      </w:tr>
      <w:tr>
        <w:trPr>
          <w:cantSplit/>
        </w:trPr>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PRT</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48,590</w:t>
            </w:r>
          </w:p>
        </w:tc>
      </w:tr>
      <w:tr>
        <w:trPr>
          <w:cantSplit/>
        </w:trPr>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GBR</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12,129</w:t>
            </w:r>
          </w:p>
        </w:tc>
      </w:tr>
      <w:tr>
        <w:trPr>
          <w:cantSplit/>
        </w:trPr>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FRA</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10,415</w:t>
            </w:r>
          </w:p>
        </w:tc>
      </w:tr>
      <w:tr>
        <w:trPr>
          <w:cantSplit/>
        </w:trPr>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ESP</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8,568</w:t>
            </w:r>
          </w:p>
        </w:tc>
      </w:tr>
      <w:tr>
        <w:trPr>
          <w:cantSplit/>
        </w:trPr>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DEU</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7,287</w:t>
            </w:r>
          </w:p>
        </w:tc>
      </w:tr>
    </w:tbl>
    <w:p>
      <w:pPr>
        <w:spacing w:after="0"/>
      </w:pPr>
    </w:p>
    <w:p>
      <w:pPr>
        <w:pStyle w:val="Heading1"/>
        <w:pageBreakBefore/>
      </w:pPr>
      <w:r>
        <w:t>Rates parking and stay length</w:t>
      </w:r>
    </w:p>
    <w:p>
      <w:pPr>
        <w:pStyle w:val="Heading2"/>
      </w:pPr>
      <w:r>
        <w:t>B07 ADR by hotel type</w:t>
      </w:r>
    </w:p>
    <w:p>
      <w:r>
        <w:t>City Hotel has mean ADR of 105.30, compared with 94.95 for Resort Hotel. Their medians are 99.90 and 75.00. These booking-weighted means include canceled bookings and the source outliers. ADR is expressed in the source currency units; no exchange-rate conversion is made.</w:t>
      </w:r>
    </w:p>
    <w:p>
      <w:pPr>
        <w:spacing w:after="180"/>
      </w:pPr>
      <w:r>
        <w:t>Calculation: Group by hotel and average adr.</w:t>
      </w:r>
    </w:p>
    <w:tbl>
      <w:tblPr>
        <w:tblW w:type="auto" w:w="0"/>
        <w:jc w:val="center"/>
        <w:tblLayout w:type="fixed"/>
        <w:tblLook w:firstColumn="1" w:firstRow="1" w:lastColumn="0" w:lastRow="0" w:noHBand="0" w:noVBand="1" w:val="04A0"/>
      </w:tblPr>
      <w:tblGrid>
        <w:gridCol w:w="4464"/>
        <w:gridCol w:w="1872"/>
        <w:gridCol w:w="1944"/>
        <w:gridCol w:w="1944"/>
      </w:tblGrid>
      <w:tr>
        <w:trPr>
          <w:tblHeader/>
          <w:cantSplit/>
        </w:trPr>
        <w:tc>
          <w:tcPr>
            <w:tcW w:type="dxa" w:w="4464"/>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Hotel</w:t>
            </w:r>
          </w:p>
        </w:tc>
        <w:tc>
          <w:tcPr>
            <w:tcW w:type="dxa" w:w="1872"/>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Bookings</w:t>
            </w:r>
          </w:p>
        </w:tc>
        <w:tc>
          <w:tcPr>
            <w:tcW w:type="dxa" w:w="1944"/>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Mean ADR</w:t>
            </w:r>
          </w:p>
        </w:tc>
        <w:tc>
          <w:tcPr>
            <w:tcW w:type="dxa" w:w="1944"/>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Median ADR</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City Hotel</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79,330</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105.30</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99.90</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Resort Hotel</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40,060</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94.95</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75</w:t>
            </w:r>
          </w:p>
        </w:tc>
      </w:tr>
    </w:tbl>
    <w:p>
      <w:pPr>
        <w:spacing w:after="0"/>
      </w:pPr>
    </w:p>
    <w:p>
      <w:pPr>
        <w:pStyle w:val="Heading2"/>
      </w:pPr>
      <w:r>
        <w:t>B08 Bookings requiring parking</w:t>
      </w:r>
    </w:p>
    <w:p>
      <w:r>
        <w:t>7,416 bookings require at least one parking space, representing 6.21% of all records. This percentage uses bookings as the denominator. It cannot be described as a percentage of individual guests, because one booking can contain several guests.</w:t>
      </w:r>
    </w:p>
    <w:p>
      <w:pPr>
        <w:spacing w:after="180"/>
      </w:pPr>
      <w:r>
        <w:t>Calculation: Count required_car_parking_spaces &gt; 0; divide by all records.</w:t>
      </w:r>
    </w:p>
    <w:p>
      <w:pPr>
        <w:pStyle w:val="Heading2"/>
      </w:pPr>
      <w:r>
        <w:t>B09 Average week and weekend nights</w:t>
      </w:r>
    </w:p>
    <w:p>
      <w:r>
        <w:t>The mean is 2.500 week nights and 0.928 weekend nights per booking, giving 3.428 total nights. The main figures include booked nights for canceled records. They describe stay length, not occupancy rate. Actual occupancy needs occupied room-nights and available room-nights for the same dates.</w:t>
      </w:r>
    </w:p>
    <w:p>
      <w:pPr>
        <w:spacing w:after="180"/>
      </w:pPr>
      <w:r>
        <w:t>Calculation: Average stays_in_week_nights and stays_in_weekend_nights; add them for total nights.</w:t>
      </w:r>
    </w:p>
    <w:p>
      <w:pPr>
        <w:pStyle w:val="Heading2"/>
      </w:pPr>
      <w:r>
        <w:t>B10 Bookings through travel agents</w:t>
      </w:r>
    </w:p>
    <w:p>
      <w:r>
        <w:t>103,050 bookings have a travel-agent ID, or 86.31% of the sample. The other 16,340 have no applicable agent. The source paper explains that a NULL agent means the booking did not come through an agent, so these IDs are not filled with a typical agency number.</w:t>
      </w:r>
    </w:p>
    <w:p>
      <w:pPr>
        <w:spacing w:after="180"/>
      </w:pPr>
      <w:r>
        <w:t>Calculation: Count non-missing agent IDs; keep IDs categorical.</w:t>
      </w:r>
    </w:p>
    <w:p>
      <w:pPr>
        <w:pStyle w:val="Heading1"/>
        <w:pageBreakBefore/>
      </w:pPr>
      <w:r>
        <w:t>Hotel cancellations and segment rates</w:t>
      </w:r>
    </w:p>
    <w:p>
      <w:pPr>
        <w:pStyle w:val="Heading2"/>
      </w:pPr>
      <w:r>
        <w:t>M01 Cancellation rates by hotel</w:t>
      </w:r>
    </w:p>
    <w:p>
      <w:r>
        <w:t>City Hotel has a cancellation rate of 41.73%: 33,102 out of 79,330 records. Resort Hotel is at 27.76%: 11,122 out of 40,060. The difference is 13.96 percentage points. Channel mix, advance booking and deposit arrangements may contribute to this gap.</w:t>
      </w:r>
    </w:p>
    <w:p>
      <w:pPr>
        <w:spacing w:after="180"/>
      </w:pPr>
      <w:r>
        <w:t>Calculation: Calculate sum(is_canceled) / record count within each hotel.</w:t>
      </w:r>
    </w:p>
    <w:tbl>
      <w:tblPr>
        <w:tblW w:type="auto" w:w="0"/>
        <w:jc w:val="center"/>
        <w:tblLayout w:type="fixed"/>
        <w:tblLook w:firstColumn="1" w:firstRow="1" w:lastColumn="0" w:lastRow="0" w:noHBand="0" w:noVBand="1" w:val="04A0"/>
      </w:tblPr>
      <w:tblGrid>
        <w:gridCol w:w="4608"/>
        <w:gridCol w:w="1872"/>
        <w:gridCol w:w="1872"/>
        <w:gridCol w:w="1872"/>
      </w:tblGrid>
      <w:tr>
        <w:trPr>
          <w:tblHeader/>
          <w:cantSplit/>
        </w:trPr>
        <w:tc>
          <w:tcPr>
            <w:tcW w:type="dxa" w:w="460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Hotel</w:t>
            </w:r>
          </w:p>
        </w:tc>
        <w:tc>
          <w:tcPr>
            <w:tcW w:type="dxa" w:w="1872"/>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Bookings</w:t>
            </w:r>
          </w:p>
        </w:tc>
        <w:tc>
          <w:tcPr>
            <w:tcW w:type="dxa" w:w="1872"/>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Canceled</w:t>
            </w:r>
          </w:p>
        </w:tc>
        <w:tc>
          <w:tcPr>
            <w:tcW w:type="dxa" w:w="1872"/>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Rate</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City Hotel</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79,330</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33,102</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41.73%</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Resort Hotel</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40,060</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11,122</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27.76%</w:t>
            </w:r>
          </w:p>
        </w:tc>
      </w:tr>
    </w:tbl>
    <w:p>
      <w:pPr>
        <w:spacing w:after="0"/>
      </w:pPr>
    </w:p>
    <w:p>
      <w:pPr>
        <w:pStyle w:val="Heading2"/>
      </w:pPr>
      <w:r>
        <w:t>M02 ADR by market segment</w:t>
      </w:r>
    </w:p>
    <w:p>
      <w:r>
        <w:t>Online TA has the highest mean ADR at 117.20, followed by Direct at 115.45. Complementary is lowest at 2.89, which fits a segment containing many free or heavily discounted stays. Undefined has only two records and is not useful for a broad comparison. ADR alone does not measure segment profitability because commissions and costs are absent.</w:t>
      </w:r>
    </w:p>
    <w:p>
      <w:pPr>
        <w:spacing w:after="180"/>
      </w:pPr>
      <w:r>
        <w:t>Calculation: Group by market_segment; report count, mean and median ADR.</w:t>
      </w:r>
    </w:p>
    <w:tbl>
      <w:tblPr>
        <w:tblW w:type="auto" w:w="0"/>
        <w:jc w:val="center"/>
        <w:tblLayout w:type="fixed"/>
        <w:tblLook w:firstColumn="1" w:firstRow="1" w:lastColumn="0" w:lastRow="0" w:noHBand="0" w:noVBand="1" w:val="04A0"/>
      </w:tblPr>
      <w:tblGrid>
        <w:gridCol w:w="4608"/>
        <w:gridCol w:w="1872"/>
        <w:gridCol w:w="1872"/>
        <w:gridCol w:w="1872"/>
      </w:tblGrid>
      <w:tr>
        <w:trPr>
          <w:tblHeader/>
          <w:cantSplit/>
        </w:trPr>
        <w:tc>
          <w:tcPr>
            <w:tcW w:type="dxa" w:w="460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Segment</w:t>
            </w:r>
          </w:p>
        </w:tc>
        <w:tc>
          <w:tcPr>
            <w:tcW w:type="dxa" w:w="1872"/>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Bookings</w:t>
            </w:r>
          </w:p>
        </w:tc>
        <w:tc>
          <w:tcPr>
            <w:tcW w:type="dxa" w:w="1872"/>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Mean ADR</w:t>
            </w:r>
          </w:p>
        </w:tc>
        <w:tc>
          <w:tcPr>
            <w:tcW w:type="dxa" w:w="1872"/>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Median ADR</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Aviation</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237</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100.14</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95</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Complementary</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743</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2.886</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Corporate</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5,295</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69.36</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65</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Direct</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12,606</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115.45</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105</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Groups</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19,811</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79.48</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70</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Offline TA/TO</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24,219</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87.35</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85.50</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Online TA</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56,477</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117.20</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109.80</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Undefined</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15</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15</w:t>
            </w:r>
          </w:p>
        </w:tc>
      </w:tr>
    </w:tbl>
    <w:p>
      <w:pPr>
        <w:spacing w:after="0"/>
      </w:pPr>
    </w:p>
    <w:p>
      <w:pPr>
        <w:pStyle w:val="Heading1"/>
        <w:pageBreakBefore/>
      </w:pPr>
      <w:r>
        <w:t>Cancellations and advance booking</w:t>
      </w:r>
    </w:p>
    <w:p>
      <w:pPr>
        <w:pStyle w:val="Heading2"/>
      </w:pPr>
      <w:r>
        <w:t>M03 Lead time and cancellation</w:t>
      </w:r>
    </w:p>
    <w:p>
      <w:r>
        <w:t>Longer lead times are associated with more cancellations. The rate rises from 9.63% for bookings made 0 to 7 days ahead to 67.66% for those made at least 366 days ahead. Pearson correlation is 0.293 and Spearman is 0.317. The relationship can also reflect group bookings and deposit practices; it is not a causal effect of waiting longer.</w:t>
      </w:r>
    </w:p>
    <w:p>
      <w:pPr>
        <w:spacing w:after="180"/>
      </w:pPr>
      <w:r>
        <w:t>Calculation: Correlate lead_time with is_canceled; compare explicit day bands.</w:t>
      </w:r>
    </w:p>
    <w:p>
      <w:r>
        <w:drawing>
          <wp:inline xmlns:a="http://schemas.openxmlformats.org/drawingml/2006/main" xmlns:pic="http://schemas.openxmlformats.org/drawingml/2006/picture">
            <wp:extent cx="5760720" cy="2633472"/>
            <wp:docPr id="3" name="Picture 3"/>
            <wp:cNvGraphicFramePr>
              <a:graphicFrameLocks noChangeAspect="1"/>
            </wp:cNvGraphicFramePr>
            <a:graphic>
              <a:graphicData uri="http://schemas.openxmlformats.org/drawingml/2006/picture">
                <pic:pic>
                  <pic:nvPicPr>
                    <pic:cNvPr id="0" name="lead_cancellations.png"/>
                    <pic:cNvPicPr/>
                  </pic:nvPicPr>
                  <pic:blipFill>
                    <a:blip r:embed="rId11"/>
                    <a:stretch>
                      <a:fillRect/>
                    </a:stretch>
                  </pic:blipFill>
                  <pic:spPr>
                    <a:xfrm>
                      <a:off x="0" y="0"/>
                      <a:ext cx="5760720" cy="2633472"/>
                    </a:xfrm>
                    <a:prstGeom prst="rect"/>
                  </pic:spPr>
                </pic:pic>
              </a:graphicData>
            </a:graphic>
          </wp:inline>
        </w:drawing>
      </w:r>
    </w:p>
    <w:tbl>
      <w:tblPr>
        <w:tblW w:type="auto" w:w="0"/>
        <w:jc w:val="center"/>
        <w:tblLayout w:type="fixed"/>
        <w:tblLook w:firstColumn="1" w:firstRow="1" w:lastColumn="0" w:lastRow="0" w:noHBand="0" w:noVBand="1" w:val="04A0"/>
      </w:tblPr>
      <w:tblGrid>
        <w:gridCol w:w="4608"/>
        <w:gridCol w:w="1872"/>
        <w:gridCol w:w="1872"/>
        <w:gridCol w:w="1872"/>
      </w:tblGrid>
      <w:tr>
        <w:trPr>
          <w:tblHeader/>
          <w:cantSplit/>
        </w:trPr>
        <w:tc>
          <w:tcPr>
            <w:tcW w:type="dxa" w:w="460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Lead days</w:t>
            </w:r>
          </w:p>
        </w:tc>
        <w:tc>
          <w:tcPr>
            <w:tcW w:type="dxa" w:w="1872"/>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Bookings</w:t>
            </w:r>
          </w:p>
        </w:tc>
        <w:tc>
          <w:tcPr>
            <w:tcW w:type="dxa" w:w="1872"/>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Canceled</w:t>
            </w:r>
          </w:p>
        </w:tc>
        <w:tc>
          <w:tcPr>
            <w:tcW w:type="dxa" w:w="1872"/>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Rate</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0 to 7</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19,746</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1,902</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9.63%</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8 to 30</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18,960</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5,283</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27.86%</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31 to 90</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29,553</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11,141</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37.70%</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91 to 180</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26,439</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11,821</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44.71%</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181 to 365</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21,544</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11,947</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55.45%</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366 or more</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3,148</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2,130</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67.66%</w:t>
            </w:r>
          </w:p>
        </w:tc>
      </w:tr>
    </w:tbl>
    <w:p>
      <w:pPr>
        <w:spacing w:after="0"/>
      </w:pPr>
    </w:p>
    <w:p>
      <w:r>
        <w:t>The separate lead_scatter.png shows each binary outcome. Because many points overlap at 0 and 1, the band chart is easier to interpret. Each rate uses the booking count in its own lead-time band.</w:t>
      </w:r>
    </w:p>
    <w:p>
      <w:pPr>
        <w:pStyle w:val="Heading1"/>
        <w:pageBreakBefore/>
      </w:pPr>
      <w:r>
        <w:t>Channels history and annual ADR</w:t>
      </w:r>
    </w:p>
    <w:p>
      <w:pPr>
        <w:pStyle w:val="Heading2"/>
      </w:pPr>
      <w:r>
        <w:t>M04 Largest distribution channel</w:t>
      </w:r>
    </w:p>
    <w:p>
      <w:r>
        <w:t>TA/TO has 97,870 booking records, or 81.98% of the sample. Direct has 14,645 and Corporate has 6,677. A large channel count does not by itself establish effectiveness, because acquisition cost and net income are not supplied. TA/TO means travel agents and tour operators.</w:t>
      </w:r>
    </w:p>
    <w:p>
      <w:pPr>
        <w:spacing w:after="180"/>
      </w:pPr>
      <w:r>
        <w:t>Calculation: Count records by distribution_channel.</w:t>
      </w:r>
    </w:p>
    <w:p>
      <w:pPr>
        <w:pStyle w:val="Heading2"/>
      </w:pPr>
      <w:r>
        <w:t>M05 Previous cancellations by hotel</w:t>
      </w:r>
    </w:p>
    <w:p>
      <w:r>
        <w:t>Mean previous cancellations are 0.0797 for City Hotel and 0.1017 for Resort Hotel. These are historical counts recorded on each booking, rather than the current booking’s outcome. Multiple bookings can carry the same guest history, and no guest ID is available for a unique-customer average.</w:t>
      </w:r>
    </w:p>
    <w:p>
      <w:pPr>
        <w:spacing w:after="180"/>
      </w:pPr>
      <w:r>
        <w:t>Calculation: Average previous_cancellations by hotel.</w:t>
      </w:r>
    </w:p>
    <w:p>
      <w:pPr>
        <w:pStyle w:val="Heading2"/>
      </w:pPr>
      <w:r>
        <w:t>M06 ADR over the years</w:t>
      </w:r>
    </w:p>
    <w:p>
      <w:r>
        <w:t>Mean ADR rises from 87.18 in 2015 to 98.33 in 2016 and 114.64 in 2017. The years cover different months: July to December 2015, all of 2016, and January to August 2017. Restricting the comparison to July and August gives 102.55, 134.63 and 153.24 respectively. Both views rise, but composition changes prevent interpreting the difference as a pure price increase.</w:t>
      </w:r>
    </w:p>
    <w:p>
      <w:pPr>
        <w:spacing w:after="180"/>
      </w:pPr>
      <w:r>
        <w:t>Calculation: Average ADR by arrival year; repeat for July and August, present in all years.</w:t>
      </w:r>
    </w:p>
    <w:tbl>
      <w:tblPr>
        <w:tblW w:type="auto" w:w="0"/>
        <w:jc w:val="center"/>
        <w:tblLayout w:type="fixed"/>
        <w:tblLook w:firstColumn="1" w:firstRow="1" w:lastColumn="0" w:lastRow="0" w:noHBand="0" w:noVBand="1" w:val="04A0"/>
      </w:tblPr>
      <w:tblGrid>
        <w:gridCol w:w="5328"/>
        <w:gridCol w:w="2448"/>
        <w:gridCol w:w="2448"/>
      </w:tblGrid>
      <w:tr>
        <w:trPr>
          <w:tblHeader/>
          <w:cantSplit/>
        </w:trPr>
        <w:tc>
          <w:tcPr>
            <w:tcW w:type="dxa" w:w="532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Arrival year</w:t>
            </w:r>
          </w:p>
        </w:tc>
        <w:tc>
          <w:tcPr>
            <w:tcW w:type="dxa" w:w="244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Bookings</w:t>
            </w:r>
          </w:p>
        </w:tc>
        <w:tc>
          <w:tcPr>
            <w:tcW w:type="dxa" w:w="244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Mean ADR</w:t>
            </w:r>
          </w:p>
        </w:tc>
      </w:tr>
      <w:tr>
        <w:trPr>
          <w:cantSplit/>
        </w:trPr>
        <w:tc>
          <w:tcPr>
            <w:tcW w:type="dxa" w:w="53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2015</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21,996</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87.18</w:t>
            </w:r>
          </w:p>
        </w:tc>
      </w:tr>
      <w:tr>
        <w:trPr>
          <w:cantSplit/>
        </w:trPr>
        <w:tc>
          <w:tcPr>
            <w:tcW w:type="dxa" w:w="53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2016</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56,707</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98.33</w:t>
            </w:r>
          </w:p>
        </w:tc>
      </w:tr>
      <w:tr>
        <w:trPr>
          <w:cantSplit/>
        </w:trPr>
        <w:tc>
          <w:tcPr>
            <w:tcW w:type="dxa" w:w="53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2017</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40,687</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114.64</w:t>
            </w:r>
          </w:p>
        </w:tc>
      </w:tr>
    </w:tbl>
    <w:p>
      <w:pPr>
        <w:spacing w:after="0"/>
      </w:pPr>
    </w:p>
    <w:tbl>
      <w:tblPr>
        <w:tblW w:type="auto" w:w="0"/>
        <w:jc w:val="center"/>
        <w:tblLayout w:type="fixed"/>
        <w:tblLook w:firstColumn="1" w:firstRow="1" w:lastColumn="0" w:lastRow="0" w:noHBand="0" w:noVBand="1" w:val="04A0"/>
      </w:tblPr>
      <w:tblGrid>
        <w:gridCol w:w="5328"/>
        <w:gridCol w:w="2448"/>
        <w:gridCol w:w="2448"/>
      </w:tblGrid>
      <w:tr>
        <w:trPr>
          <w:tblHeader/>
          <w:cantSplit/>
        </w:trPr>
        <w:tc>
          <w:tcPr>
            <w:tcW w:type="dxa" w:w="532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Year July and August only</w:t>
            </w:r>
          </w:p>
        </w:tc>
        <w:tc>
          <w:tcPr>
            <w:tcW w:type="dxa" w:w="244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Bookings</w:t>
            </w:r>
          </w:p>
        </w:tc>
        <w:tc>
          <w:tcPr>
            <w:tcW w:type="dxa" w:w="244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Mean ADR</w:t>
            </w:r>
          </w:p>
        </w:tc>
      </w:tr>
      <w:tr>
        <w:trPr>
          <w:cantSplit/>
        </w:trPr>
        <w:tc>
          <w:tcPr>
            <w:tcW w:type="dxa" w:w="53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2015</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6,665</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102.55</w:t>
            </w:r>
          </w:p>
        </w:tc>
      </w:tr>
      <w:tr>
        <w:trPr>
          <w:cantSplit/>
        </w:trPr>
        <w:tc>
          <w:tcPr>
            <w:tcW w:type="dxa" w:w="53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2016</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9,635</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134.63</w:t>
            </w:r>
          </w:p>
        </w:tc>
      </w:tr>
      <w:tr>
        <w:trPr>
          <w:cantSplit/>
        </w:trPr>
        <w:tc>
          <w:tcPr>
            <w:tcW w:type="dxa" w:w="53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2017</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10,238</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153.24</w:t>
            </w:r>
          </w:p>
        </w:tc>
      </w:tr>
    </w:tbl>
    <w:p>
      <w:pPr>
        <w:spacing w:after="0"/>
      </w:pPr>
    </w:p>
    <w:p>
      <w:pPr>
        <w:pStyle w:val="Heading1"/>
        <w:pageBreakBefore/>
      </w:pPr>
      <w:r>
        <w:t>Estimating lodging value</w:t>
      </w:r>
    </w:p>
    <w:p>
      <w:pPr>
        <w:pStyle w:val="Heading2"/>
      </w:pPr>
      <w:r>
        <w:t>M07 Month with the largest lodging value</w:t>
      </w:r>
    </w:p>
    <w:p>
      <w:r>
        <w:t>August leads with an estimated completed-stay lodging value of 4,917,159.06 source currency units. Its average per observed August is 1,639,053.02 and also leads after the coverage adjustment. The assignment’s sum-of-ADR calculation gives August 1,944,327.60, but adding daily rates is not a revenue calculation. The full table retains this requested arithmetic alongside the lodging-value estimate.</w:t>
      </w:r>
    </w:p>
    <w:p>
      <w:pPr>
        <w:spacing w:after="180"/>
      </w:pPr>
      <w:r>
        <w:t>Calculation: For Check-Out records with positive nights and nonnegative ADR, sum adr × total nights; allocate the whole stay to arrival month.</w:t>
      </w:r>
    </w:p>
    <w:p>
      <w:r>
        <w:drawing>
          <wp:inline xmlns:a="http://schemas.openxmlformats.org/drawingml/2006/main" xmlns:pic="http://schemas.openxmlformats.org/drawingml/2006/picture">
            <wp:extent cx="5669280" cy="2672661"/>
            <wp:docPr id="4" name="Picture 4"/>
            <wp:cNvGraphicFramePr>
              <a:graphicFrameLocks noChangeAspect="1"/>
            </wp:cNvGraphicFramePr>
            <a:graphic>
              <a:graphicData uri="http://schemas.openxmlformats.org/drawingml/2006/picture">
                <pic:pic>
                  <pic:nvPicPr>
                    <pic:cNvPr id="0" name="revenue_proxy.png"/>
                    <pic:cNvPicPr/>
                  </pic:nvPicPr>
                  <pic:blipFill>
                    <a:blip r:embed="rId12"/>
                    <a:stretch>
                      <a:fillRect/>
                    </a:stretch>
                  </pic:blipFill>
                  <pic:spPr>
                    <a:xfrm>
                      <a:off x="0" y="0"/>
                      <a:ext cx="5669280" cy="2672661"/>
                    </a:xfrm>
                    <a:prstGeom prst="rect"/>
                  </pic:spPr>
                </pic:pic>
              </a:graphicData>
            </a:graphic>
          </wp:inline>
        </w:drawing>
      </w:r>
    </w:p>
    <w:p>
      <w:r>
        <w:t>The proxy sums ADR multiplied by total nights only for Check-Out bookings with positive nights and nonnegative ADR. It totals 25,996,324.21 across the sample and 255,030 eligible booking-nights. Dividing those totals gives a night-weighted ADR of 101.93.</w:t>
      </w:r>
    </w:p>
    <w:p>
      <w:r>
        <w:t>The entire stay is assigned to its arrival month, so this is not a calendar-night revenue ledger. It omits cancellation fees, meals, commissions, taxes and refunds. A zero-night booking contributes no stay value. Actual room-night occupancy cannot be established without room inventory and occupied-room records.</w:t>
      </w:r>
    </w:p>
    <w:p>
      <w:pPr>
        <w:pStyle w:val="Heading1"/>
        <w:pageBreakBefore/>
      </w:pPr>
      <w:r>
        <w:t>Requests repeat guests and room choices</w:t>
      </w:r>
    </w:p>
    <w:p>
      <w:pPr>
        <w:pStyle w:val="Heading2"/>
      </w:pPr>
      <w:r>
        <w:t>M08 Special requests and ADR</w:t>
      </w:r>
    </w:p>
    <w:p>
      <w:r>
        <w:t>Mean ADR is 94.96 for no requests, 108.46 for one request and 117.03 for two requests. Pearson correlation is 0.172 and Spearman is 0.196, indicating a weak positive association. The five-request group has only 40 records. Guest composition, room type and season can explain part of the difference, so the result does not justify charging for requests.</w:t>
      </w:r>
    </w:p>
    <w:p>
      <w:pPr>
        <w:spacing w:after="180"/>
      </w:pPr>
      <w:r>
        <w:t>Calculation: Group by request count; correlate total_of_special_requests with adr.</w:t>
      </w:r>
    </w:p>
    <w:tbl>
      <w:tblPr>
        <w:tblW w:type="auto" w:w="0"/>
        <w:jc w:val="center"/>
        <w:tblLayout w:type="fixed"/>
        <w:tblLook w:firstColumn="1" w:firstRow="1" w:lastColumn="0" w:lastRow="0" w:noHBand="0" w:noVBand="1" w:val="04A0"/>
      </w:tblPr>
      <w:tblGrid>
        <w:gridCol w:w="5328"/>
        <w:gridCol w:w="2448"/>
        <w:gridCol w:w="2448"/>
      </w:tblGrid>
      <w:tr>
        <w:trPr>
          <w:tblHeader/>
          <w:cantSplit/>
        </w:trPr>
        <w:tc>
          <w:tcPr>
            <w:tcW w:type="dxa" w:w="532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Requests</w:t>
            </w:r>
          </w:p>
        </w:tc>
        <w:tc>
          <w:tcPr>
            <w:tcW w:type="dxa" w:w="244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Bookings</w:t>
            </w:r>
          </w:p>
        </w:tc>
        <w:tc>
          <w:tcPr>
            <w:tcW w:type="dxa" w:w="244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Mean ADR</w:t>
            </w:r>
          </w:p>
        </w:tc>
      </w:tr>
      <w:tr>
        <w:trPr>
          <w:cantSplit/>
        </w:trPr>
        <w:tc>
          <w:tcPr>
            <w:tcW w:type="dxa" w:w="53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0</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70,318</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94.96</w:t>
            </w:r>
          </w:p>
        </w:tc>
      </w:tr>
      <w:tr>
        <w:trPr>
          <w:cantSplit/>
        </w:trPr>
        <w:tc>
          <w:tcPr>
            <w:tcW w:type="dxa" w:w="53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33,226</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108.46</w:t>
            </w:r>
          </w:p>
        </w:tc>
      </w:tr>
      <w:tr>
        <w:trPr>
          <w:cantSplit/>
        </w:trPr>
        <w:tc>
          <w:tcPr>
            <w:tcW w:type="dxa" w:w="53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12,969</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117.03</w:t>
            </w:r>
          </w:p>
        </w:tc>
      </w:tr>
      <w:tr>
        <w:trPr>
          <w:cantSplit/>
        </w:trPr>
        <w:tc>
          <w:tcPr>
            <w:tcW w:type="dxa" w:w="53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2,497</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123.85</w:t>
            </w:r>
          </w:p>
        </w:tc>
      </w:tr>
      <w:tr>
        <w:trPr>
          <w:cantSplit/>
        </w:trPr>
        <w:tc>
          <w:tcPr>
            <w:tcW w:type="dxa" w:w="53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4</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340</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130.57</w:t>
            </w:r>
          </w:p>
        </w:tc>
      </w:tr>
      <w:tr>
        <w:trPr>
          <w:cantSplit/>
        </w:trPr>
        <w:tc>
          <w:tcPr>
            <w:tcW w:type="dxa" w:w="53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5</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40</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127.75</w:t>
            </w:r>
          </w:p>
        </w:tc>
      </w:tr>
    </w:tbl>
    <w:p>
      <w:pPr>
        <w:spacing w:after="0"/>
      </w:pPr>
    </w:p>
    <w:p>
      <w:pPr>
        <w:pStyle w:val="Heading2"/>
      </w:pPr>
      <w:r>
        <w:t>M09 Stay length for repeat and new guests</w:t>
      </w:r>
    </w:p>
    <w:p>
      <w:r>
        <w:t>Repeat-guest bookings average 1.926 nights, compared with 3.477 for records without the repeat flag. There are 3,810 repeat-guest records and 115,580 others. The flag identifies recorded booking history, not a verified first-ever customer relationship. These means include canceled reservations.</w:t>
      </w:r>
    </w:p>
    <w:p>
      <w:pPr>
        <w:spacing w:after="180"/>
      </w:pPr>
      <w:r>
        <w:t>Calculation: Add week and weekend nights; average by is_repeated_guest.</w:t>
      </w:r>
    </w:p>
    <w:tbl>
      <w:tblPr>
        <w:tblW w:type="auto" w:w="0"/>
        <w:jc w:val="center"/>
        <w:tblLayout w:type="fixed"/>
        <w:tblLook w:firstColumn="1" w:firstRow="1" w:lastColumn="0" w:lastRow="0" w:noHBand="0" w:noVBand="1" w:val="04A0"/>
      </w:tblPr>
      <w:tblGrid>
        <w:gridCol w:w="5328"/>
        <w:gridCol w:w="2448"/>
        <w:gridCol w:w="2448"/>
      </w:tblGrid>
      <w:tr>
        <w:trPr>
          <w:tblHeader/>
          <w:cantSplit/>
        </w:trPr>
        <w:tc>
          <w:tcPr>
            <w:tcW w:type="dxa" w:w="532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Repeat flag</w:t>
            </w:r>
          </w:p>
        </w:tc>
        <w:tc>
          <w:tcPr>
            <w:tcW w:type="dxa" w:w="244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Bookings</w:t>
            </w:r>
          </w:p>
        </w:tc>
        <w:tc>
          <w:tcPr>
            <w:tcW w:type="dxa" w:w="244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Mean nights</w:t>
            </w:r>
          </w:p>
        </w:tc>
      </w:tr>
      <w:tr>
        <w:trPr>
          <w:cantSplit/>
        </w:trPr>
        <w:tc>
          <w:tcPr>
            <w:tcW w:type="dxa" w:w="53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0</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115,580</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3.477</w:t>
            </w:r>
          </w:p>
        </w:tc>
      </w:tr>
      <w:tr>
        <w:trPr>
          <w:cantSplit/>
        </w:trPr>
        <w:tc>
          <w:tcPr>
            <w:tcW w:type="dxa" w:w="53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3,810</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1.926</w:t>
            </w:r>
          </w:p>
        </w:tc>
      </w:tr>
    </w:tbl>
    <w:p>
      <w:pPr>
        <w:spacing w:after="0"/>
      </w:pPr>
    </w:p>
    <w:p>
      <w:pPr>
        <w:pStyle w:val="Heading2"/>
      </w:pPr>
      <w:r>
        <w:t>M10 Most frequently reserved room type</w:t>
      </w:r>
    </w:p>
    <w:p>
      <w:r>
        <w:t>Room type A is most common, with 85,994 bookings, or 72.03% of the sample. Type D follows with 19,201. The analysis uses reserved_room_type as requested, rather than the final assigned room. Codes are anonymized and should not be renamed as standard, deluxe or suite without a mapping.</w:t>
      </w:r>
    </w:p>
    <w:p>
      <w:pPr>
        <w:spacing w:after="180"/>
      </w:pPr>
      <w:r>
        <w:t>Calculation: Count records by reserved_room_type.</w:t>
      </w:r>
    </w:p>
    <w:p>
      <w:pPr>
        <w:pStyle w:val="Heading1"/>
        <w:pageBreakBefore/>
      </w:pPr>
      <w:r>
        <w:t>Cancellation factors</w:t>
      </w:r>
    </w:p>
    <w:p>
      <w:pPr>
        <w:pStyle w:val="Heading2"/>
      </w:pPr>
      <w:r>
        <w:t>A01 Factors associated with cancellation</w:t>
      </w:r>
    </w:p>
    <w:p>
      <w:r>
        <w:t>A logistic regression on 119,206 eligible records finds higher cancellation odds with longer lead time, any previous cancellation, City Hotel, Online TA and non-refundable deposits, after the specified controls. Repeat-guest records have lower odds. An extra 30 lead-time days has an odds ratio of 1.095, with a 95% interval of 1.089 to 1.101. Odds ratios compare odds, not probability-point changes. The full coefficient table includes robust uncertainty and adjusted p-values.</w:t>
      </w:r>
    </w:p>
    <w:p>
      <w:pPr>
        <w:spacing w:after="180"/>
      </w:pPr>
      <w:r>
        <w:t>Calculation: Fit an unpenalized logistic model with HC1 robust standard errors; apply Benjamini-Hochberg adjustment across non-intercept terms.</w:t>
      </w:r>
    </w:p>
    <w:tbl>
      <w:tblPr>
        <w:tblW w:type="auto" w:w="0"/>
        <w:jc w:val="center"/>
        <w:tblLayout w:type="fixed"/>
        <w:tblLook w:firstColumn="1" w:firstRow="1" w:lastColumn="0" w:lastRow="0" w:noHBand="0" w:noVBand="1" w:val="04A0"/>
      </w:tblPr>
      <w:tblGrid>
        <w:gridCol w:w="4464"/>
        <w:gridCol w:w="1440"/>
        <w:gridCol w:w="1440"/>
        <w:gridCol w:w="1440"/>
        <w:gridCol w:w="1440"/>
      </w:tblGrid>
      <w:tr>
        <w:trPr>
          <w:tblHeader/>
          <w:cantSplit/>
        </w:trPr>
        <w:tc>
          <w:tcPr>
            <w:tcW w:type="dxa" w:w="4464"/>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Factor</w:t>
            </w:r>
          </w:p>
        </w:tc>
        <w:tc>
          <w:tcPr>
            <w:tcW w:type="dxa" w:w="1440"/>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Odds ratio</w:t>
            </w:r>
          </w:p>
        </w:tc>
        <w:tc>
          <w:tcPr>
            <w:tcW w:type="dxa" w:w="1440"/>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95% low</w:t>
            </w:r>
          </w:p>
        </w:tc>
        <w:tc>
          <w:tcPr>
            <w:tcW w:type="dxa" w:w="1440"/>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95% high</w:t>
            </w:r>
          </w:p>
        </w:tc>
        <w:tc>
          <w:tcPr>
            <w:tcW w:type="dxa" w:w="1440"/>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Adjusted p value</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Lead time per 30 days</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1.095</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1.089</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1.101</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&lt;0.001</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Any previous cancellation</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66.19</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56.10</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78.11</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&lt;0.001</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Repeat guest</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0.083</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0.067</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0.103</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&lt;0.001</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City versus Resort</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1.253</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1.214</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1.295</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&lt;0.001</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Online TA versus Direct</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2.760</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2.613</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2.914</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&lt;0.001</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Non Refund versus No Deposit</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318.28</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257.37</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393.61</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&lt;0.001</w:t>
            </w:r>
          </w:p>
        </w:tc>
      </w:tr>
    </w:tbl>
    <w:p>
      <w:pPr>
        <w:spacing w:after="0"/>
      </w:pPr>
    </w:p>
    <w:p>
      <w:r>
        <w:t>The model controls for lead time, nights, adults, children, babies, repeat status, any previous cancellation, hotel, market segment, customer type, deposit type, season and arrival year. References are Resort Hotel, Direct, Transient, No Deposit, Winter and 2016. The model excludes 180 zero-guest records and four records with unknown children counts. The two Undefined-market records are among those four exclusions.</w:t>
      </w:r>
    </w:p>
    <w:p>
      <w:r>
        <w:t>The very large Non Refund association reflects this sample’s booking arrangements. It does not show that non-refundable deposits cause cancellations or that introducing them would reduce risk. Full coefficient results are in cancellation_logistic.csv, including terms that are not significant.</w:t>
      </w:r>
    </w:p>
    <w:p>
      <w:pPr>
        <w:pStyle w:val="Heading1"/>
        <w:pageBreakBefore/>
      </w:pPr>
      <w:r>
        <w:t>Interpreting and checking the cancellation model</w:t>
      </w:r>
    </w:p>
    <w:p>
      <w:r>
        <w:t>The inference model uses unpenalized maximum likelihood, solved by Newton steps with backtracking. Its score converged near zero after nine iterations. HC1 sandwich standard errors allow unequal residual variance, and 95% intervals use a normal approximation. Adjusted p-values control the false-discovery rate across non-intercept terms. Statistical significance here describes conditional associations under the model assumptions.</w:t>
      </w:r>
    </w:p>
    <w:p>
      <w:r>
        <w:t>The records do not identify guest, group or booking clusters, so dependence within repeated patterns cannot be fully modeled. Robust standard errors do not fix that problem. The duplicate-row sensitivity and observational design should be considered before relying on small p-values. Linear effects on log odds, omitted variables and historical sampling also limit interpretation.</w:t>
      </w:r>
    </w:p>
    <w:p>
      <w:pPr>
        <w:pStyle w:val="Heading2"/>
      </w:pPr>
      <w:r>
        <w:t>Final booking changes and requests</w:t>
      </w:r>
    </w:p>
    <w:tbl>
      <w:tblPr>
        <w:tblW w:type="auto" w:w="0"/>
        <w:jc w:val="center"/>
        <w:tblLayout w:type="fixed"/>
        <w:tblLook w:firstColumn="1" w:firstRow="1" w:lastColumn="0" w:lastRow="0" w:noHBand="0" w:noVBand="1" w:val="04A0"/>
      </w:tblPr>
      <w:tblGrid>
        <w:gridCol w:w="5472"/>
        <w:gridCol w:w="1584"/>
        <w:gridCol w:w="1584"/>
        <w:gridCol w:w="1584"/>
      </w:tblGrid>
      <w:tr>
        <w:trPr>
          <w:tblHeader/>
          <w:cantSplit/>
        </w:trPr>
        <w:tc>
          <w:tcPr>
            <w:tcW w:type="dxa" w:w="5472"/>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Retrospective factor</w:t>
            </w:r>
          </w:p>
        </w:tc>
        <w:tc>
          <w:tcPr>
            <w:tcW w:type="dxa" w:w="1584"/>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Odds ratio</w:t>
            </w:r>
          </w:p>
        </w:tc>
        <w:tc>
          <w:tcPr>
            <w:tcW w:type="dxa" w:w="1584"/>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95% low</w:t>
            </w:r>
          </w:p>
        </w:tc>
        <w:tc>
          <w:tcPr>
            <w:tcW w:type="dxa" w:w="1584"/>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95% high</w:t>
            </w:r>
          </w:p>
        </w:tc>
      </w:tr>
      <w:tr>
        <w:trPr>
          <w:cantSplit/>
        </w:trPr>
        <w:tc>
          <w:tcPr>
            <w:tcW w:type="dxa" w:w="54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booking_changes</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0.661</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0.637</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0.686</w:t>
            </w:r>
          </w:p>
        </w:tc>
      </w:tr>
      <w:tr>
        <w:trPr>
          <w:cantSplit/>
        </w:trPr>
        <w:tc>
          <w:tcPr>
            <w:tcW w:type="dxa" w:w="54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total_of_special_requests</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0.479</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0.467</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0.490</w:t>
            </w:r>
          </w:p>
        </w:tc>
      </w:tr>
    </w:tbl>
    <w:p>
      <w:pPr>
        <w:spacing w:after="0"/>
      </w:pPr>
    </w:p>
    <w:p>
      <w:r>
        <w:t>Adding final booking-change and request counts produces odds ratios of 0.661 and 0.479 per additional count. These are descriptive associations. Guests who remain booked have more opportunity to change a reservation or add requests, so the fields are not used as initial-booking predictors. Reservation status, its date and the canceled flag are also excluded from prediction inputs.</w:t>
      </w:r>
    </w:p>
    <w:p>
      <w:pPr>
        <w:pStyle w:val="Heading2"/>
      </w:pPr>
      <w:r>
        <w:t>Prediction on later arrivals</w:t>
      </w:r>
    </w:p>
    <w:tbl>
      <w:tblPr>
        <w:tblW w:type="auto" w:w="0"/>
        <w:jc w:val="center"/>
        <w:tblLayout w:type="fixed"/>
        <w:tblLook w:firstColumn="1" w:firstRow="1" w:lastColumn="0" w:lastRow="0" w:noHBand="0" w:noVBand="1" w:val="04A0"/>
      </w:tblPr>
      <w:tblGrid>
        <w:gridCol w:w="8208"/>
        <w:gridCol w:w="2016"/>
      </w:tblGrid>
      <w:tr>
        <w:trPr>
          <w:tblHeader/>
          <w:cantSplit/>
        </w:trPr>
        <w:tc>
          <w:tcPr>
            <w:tcW w:type="dxa" w:w="820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Measure</w:t>
            </w:r>
          </w:p>
        </w:tc>
        <w:tc>
          <w:tcPr>
            <w:tcW w:type="dxa" w:w="2016"/>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Value</w:t>
            </w:r>
          </w:p>
        </w:tc>
      </w:tr>
      <w:tr>
        <w:trPr>
          <w:cantSplit/>
        </w:trPr>
        <w:tc>
          <w:tcPr>
            <w:tcW w:type="dxa" w:w="82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Training records with known outcome by 31 December 2016</w:t>
            </w:r>
          </w:p>
        </w:tc>
        <w:tc>
          <w:tcPr>
            <w:tcW w:type="dxa" w:w="20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78,195</w:t>
            </w:r>
          </w:p>
        </w:tc>
      </w:tr>
      <w:tr>
        <w:trPr>
          <w:cantSplit/>
        </w:trPr>
        <w:tc>
          <w:tcPr>
            <w:tcW w:type="dxa" w:w="82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Test arrivals in January to August 2017</w:t>
            </w:r>
          </w:p>
        </w:tc>
        <w:tc>
          <w:tcPr>
            <w:tcW w:type="dxa" w:w="20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40,620</w:t>
            </w:r>
          </w:p>
        </w:tc>
      </w:tr>
      <w:tr>
        <w:trPr>
          <w:cantSplit/>
        </w:trPr>
        <w:tc>
          <w:tcPr>
            <w:tcW w:type="dxa" w:w="82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ROC AUC</w:t>
            </w:r>
          </w:p>
        </w:tc>
        <w:tc>
          <w:tcPr>
            <w:tcW w:type="dxa" w:w="20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0.775</w:t>
            </w:r>
          </w:p>
        </w:tc>
      </w:tr>
      <w:tr>
        <w:trPr>
          <w:cantSplit/>
        </w:trPr>
        <w:tc>
          <w:tcPr>
            <w:tcW w:type="dxa" w:w="82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Brier score</w:t>
            </w:r>
          </w:p>
        </w:tc>
        <w:tc>
          <w:tcPr>
            <w:tcW w:type="dxa" w:w="20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0.177</w:t>
            </w:r>
          </w:p>
        </w:tc>
      </w:tr>
      <w:tr>
        <w:trPr>
          <w:cantSplit/>
        </w:trPr>
        <w:tc>
          <w:tcPr>
            <w:tcW w:type="dxa" w:w="82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Constant-rate baseline Brier</w:t>
            </w:r>
          </w:p>
        </w:tc>
        <w:tc>
          <w:tcPr>
            <w:tcW w:type="dxa" w:w="20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0.238</w:t>
            </w:r>
          </w:p>
        </w:tc>
      </w:tr>
      <w:tr>
        <w:trPr>
          <w:cantSplit/>
        </w:trPr>
        <w:tc>
          <w:tcPr>
            <w:tcW w:type="dxa" w:w="82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Recall at probability threshold 0.5</w:t>
            </w:r>
          </w:p>
        </w:tc>
        <w:tc>
          <w:tcPr>
            <w:tcW w:type="dxa" w:w="20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0.328</w:t>
            </w:r>
          </w:p>
        </w:tc>
      </w:tr>
    </w:tbl>
    <w:p>
      <w:pPr>
        <w:spacing w:after="0"/>
      </w:pPr>
    </w:p>
    <w:p>
      <w:r>
        <w:t>The prediction model is separately fitted with L2 regularization and no year dummy. It uses an arrival-period split and only known training outcomes. It recalls 32.85% of canceled test bookings at a 0.5 threshold, so it misses many cancellations. This is a historical benchmark, not a validated production model; feature values at original booking time are not independently verified.</w:t>
      </w:r>
    </w:p>
    <w:p>
      <w:pPr>
        <w:pStyle w:val="Heading1"/>
        <w:pageBreakBefore/>
      </w:pPr>
      <w:r>
        <w:t>Guest composition and daily rates</w:t>
      </w:r>
    </w:p>
    <w:p>
      <w:pPr>
        <w:pStyle w:val="Heading2"/>
      </w:pPr>
      <w:r>
        <w:t>A02 Guest composition and ADR</w:t>
      </w:r>
    </w:p>
    <w:p>
      <w:r>
        <w:t>In the adjusted multiple regression, an additional adult is associated with 5.93 more ADR units, a child with 14.67, and a baby with 5.90. The respective 95% intervals are 3.85 to 8.02, 13.75 to 15.60, and 3.27 to 8.54. The model holds hotel, segment, reserved room, arrival month, year and stay length constant. These are conditional associations, not per-person surcharges.</w:t>
      </w:r>
    </w:p>
    <w:p>
      <w:pPr>
        <w:spacing w:after="180"/>
      </w:pPr>
      <w:r>
        <w:t>Calculation: OLS with adults, children and babies plus controls; HC3 standard errors; compare an upper-99th-percentile capped outcome.</w:t>
      </w:r>
    </w:p>
    <w:tbl>
      <w:tblPr>
        <w:tblW w:type="auto" w:w="0"/>
        <w:jc w:val="center"/>
        <w:tblLayout w:type="fixed"/>
        <w:tblLook w:firstColumn="1" w:firstRow="1" w:lastColumn="0" w:lastRow="0" w:noHBand="0" w:noVBand="1" w:val="04A0"/>
      </w:tblPr>
      <w:tblGrid>
        <w:gridCol w:w="5040"/>
        <w:gridCol w:w="1728"/>
        <w:gridCol w:w="1728"/>
        <w:gridCol w:w="1728"/>
      </w:tblGrid>
      <w:tr>
        <w:trPr>
          <w:tblHeader/>
          <w:cantSplit/>
        </w:trPr>
        <w:tc>
          <w:tcPr>
            <w:tcW w:type="dxa" w:w="5040"/>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Additional guest</w:t>
            </w:r>
          </w:p>
        </w:tc>
        <w:tc>
          <w:tcPr>
            <w:tcW w:type="dxa" w:w="172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ADR difference</w:t>
            </w:r>
          </w:p>
        </w:tc>
        <w:tc>
          <w:tcPr>
            <w:tcW w:type="dxa" w:w="172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95% low</w:t>
            </w:r>
          </w:p>
        </w:tc>
        <w:tc>
          <w:tcPr>
            <w:tcW w:type="dxa" w:w="172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95% high</w:t>
            </w:r>
          </w:p>
        </w:tc>
      </w:tr>
      <w:tr>
        <w:trPr>
          <w:cantSplit/>
        </w:trPr>
        <w:tc>
          <w:tcPr>
            <w:tcW w:type="dxa" w:w="50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adults</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5.932</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3.847</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8.018</w:t>
            </w:r>
          </w:p>
        </w:tc>
      </w:tr>
      <w:tr>
        <w:trPr>
          <w:cantSplit/>
        </w:trPr>
        <w:tc>
          <w:tcPr>
            <w:tcW w:type="dxa" w:w="50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children</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14.67</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13.75</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15.60</w:t>
            </w:r>
          </w:p>
        </w:tc>
      </w:tr>
      <w:tr>
        <w:trPr>
          <w:cantSplit/>
        </w:trPr>
        <w:tc>
          <w:tcPr>
            <w:tcW w:type="dxa" w:w="50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babies</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5.902</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3.268</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8.536</w:t>
            </w:r>
          </w:p>
        </w:tc>
      </w:tr>
    </w:tbl>
    <w:p>
      <w:pPr>
        <w:spacing w:after="0"/>
      </w:pPr>
    </w:p>
    <w:p>
      <w:r>
        <w:t>The adjusted OLS model uses 119,205 records and explains 47.4% of the observed ADR variation in-sample. It excludes the negative ADR record in addition to the cancellation-model exclusions. It is fitted with an intercept and categorical reference coding, and uses HC3 leverage-adjusted sandwich standard errors. The estimates are not a forecast accuracy test.</w:t>
      </w:r>
    </w:p>
    <w:p>
      <w:pPr>
        <w:pStyle w:val="Heading2"/>
      </w:pPr>
      <w:r>
        <w:t>Sensitivity to high ADR values</w:t>
      </w:r>
    </w:p>
    <w:tbl>
      <w:tblPr>
        <w:tblW w:type="auto" w:w="0"/>
        <w:jc w:val="center"/>
        <w:tblLayout w:type="fixed"/>
        <w:tblLook w:firstColumn="1" w:firstRow="1" w:lastColumn="0" w:lastRow="0" w:noHBand="0" w:noVBand="1" w:val="04A0"/>
      </w:tblPr>
      <w:tblGrid>
        <w:gridCol w:w="5040"/>
        <w:gridCol w:w="1728"/>
        <w:gridCol w:w="1728"/>
        <w:gridCol w:w="1728"/>
      </w:tblGrid>
      <w:tr>
        <w:trPr>
          <w:tblHeader/>
          <w:cantSplit/>
        </w:trPr>
        <w:tc>
          <w:tcPr>
            <w:tcW w:type="dxa" w:w="5040"/>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Additional guest with capped ADR</w:t>
            </w:r>
          </w:p>
        </w:tc>
        <w:tc>
          <w:tcPr>
            <w:tcW w:type="dxa" w:w="172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ADR difference</w:t>
            </w:r>
          </w:p>
        </w:tc>
        <w:tc>
          <w:tcPr>
            <w:tcW w:type="dxa" w:w="172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95% low</w:t>
            </w:r>
          </w:p>
        </w:tc>
        <w:tc>
          <w:tcPr>
            <w:tcW w:type="dxa" w:w="172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95% high</w:t>
            </w:r>
          </w:p>
        </w:tc>
      </w:tr>
      <w:tr>
        <w:trPr>
          <w:cantSplit/>
        </w:trPr>
        <w:tc>
          <w:tcPr>
            <w:tcW w:type="dxa" w:w="50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adults</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5.782</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3.737</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7.827</w:t>
            </w:r>
          </w:p>
        </w:tc>
      </w:tr>
      <w:tr>
        <w:trPr>
          <w:cantSplit/>
        </w:trPr>
        <w:tc>
          <w:tcPr>
            <w:tcW w:type="dxa" w:w="50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children</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13.98</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13.12</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14.83</w:t>
            </w:r>
          </w:p>
        </w:tc>
      </w:tr>
      <w:tr>
        <w:trPr>
          <w:cantSplit/>
        </w:trPr>
        <w:tc>
          <w:tcPr>
            <w:tcW w:type="dxa" w:w="50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babies</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6.105</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3.507</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8.704</w:t>
            </w:r>
          </w:p>
        </w:tc>
      </w:tr>
    </w:tbl>
    <w:p>
      <w:pPr>
        <w:spacing w:after="0"/>
      </w:pPr>
    </w:p>
    <w:p>
      <w:r>
        <w:t>Capping the outcome at 252.00 changes the adult estimate to 5.78, child to 13.98 and baby to 6.11. Their signs stay positive. The uncapped results remain the primary estimates. Unadjusted regression results and a detailed guest-composition table are included so readers can compare simple averages with controlled estimates.</w:t>
      </w:r>
    </w:p>
    <w:p>
      <w:pPr>
        <w:pStyle w:val="Heading1"/>
        <w:pageBreakBefore/>
      </w:pPr>
      <w:r>
        <w:t>Booking changes and service needs</w:t>
      </w:r>
    </w:p>
    <w:p>
      <w:pPr>
        <w:pStyle w:val="Heading2"/>
      </w:pPr>
      <w:r>
        <w:t>A03 Booking changes and guest requests</w:t>
      </w:r>
    </w:p>
    <w:p>
      <w:r>
        <w:t>Booking changes and special requests have Pearson correlation of 0.0528 and Spearman correlation of 0.0419. Both are close to zero. The data therefore offers little evidence of a strong overall relationship between these counts. More importantly, no satisfaction score is present. The requested relationship can be measured, but the effect of booking flexibility on guest satisfaction cannot.</w:t>
      </w:r>
    </w:p>
    <w:p>
      <w:pPr>
        <w:spacing w:after="180"/>
      </w:pPr>
      <w:r>
        <w:t>Calculation: Correlate booking_changes and total_of_special_requests; inspect counts by change frequency.</w:t>
      </w:r>
    </w:p>
    <w:tbl>
      <w:tblPr>
        <w:tblW w:type="auto" w:w="0"/>
        <w:jc w:val="center"/>
        <w:tblLayout w:type="fixed"/>
        <w:tblLook w:firstColumn="1" w:firstRow="1" w:lastColumn="0" w:lastRow="0" w:noHBand="0" w:noVBand="1" w:val="04A0"/>
      </w:tblPr>
      <w:tblGrid>
        <w:gridCol w:w="4032"/>
        <w:gridCol w:w="2016"/>
        <w:gridCol w:w="2088"/>
        <w:gridCol w:w="2088"/>
      </w:tblGrid>
      <w:tr>
        <w:trPr>
          <w:tblHeader/>
          <w:cantSplit/>
        </w:trPr>
        <w:tc>
          <w:tcPr>
            <w:tcW w:type="dxa" w:w="4032"/>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Changes</w:t>
            </w:r>
          </w:p>
        </w:tc>
        <w:tc>
          <w:tcPr>
            <w:tcW w:type="dxa" w:w="2016"/>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Bookings</w:t>
            </w:r>
          </w:p>
        </w:tc>
        <w:tc>
          <w:tcPr>
            <w:tcW w:type="dxa" w:w="208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Mean requests</w:t>
            </w:r>
          </w:p>
        </w:tc>
        <w:tc>
          <w:tcPr>
            <w:tcW w:type="dxa" w:w="208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Mean ADR</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0</w:t>
            </w:r>
          </w:p>
        </w:tc>
        <w:tc>
          <w:tcPr>
            <w:tcW w:type="dxa" w:w="20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101,314</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0.556</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101.37</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w:t>
            </w:r>
          </w:p>
        </w:tc>
        <w:tc>
          <w:tcPr>
            <w:tcW w:type="dxa" w:w="20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12,701</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0.625</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103.20</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w:t>
            </w:r>
          </w:p>
        </w:tc>
        <w:tc>
          <w:tcPr>
            <w:tcW w:type="dxa" w:w="20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3,805</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0.713</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107.29</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w:t>
            </w:r>
          </w:p>
        </w:tc>
        <w:tc>
          <w:tcPr>
            <w:tcW w:type="dxa" w:w="20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927</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0.810</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109.80</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4</w:t>
            </w:r>
          </w:p>
        </w:tc>
        <w:tc>
          <w:tcPr>
            <w:tcW w:type="dxa" w:w="20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376</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0.806</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107.64</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5</w:t>
            </w:r>
          </w:p>
        </w:tc>
        <w:tc>
          <w:tcPr>
            <w:tcW w:type="dxa" w:w="20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118</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0.822</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103.15</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6</w:t>
            </w:r>
          </w:p>
        </w:tc>
        <w:tc>
          <w:tcPr>
            <w:tcW w:type="dxa" w:w="20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63</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0.889</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100.74</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7</w:t>
            </w:r>
          </w:p>
        </w:tc>
        <w:tc>
          <w:tcPr>
            <w:tcW w:type="dxa" w:w="20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31</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0.645</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88.04</w:t>
            </w:r>
          </w:p>
        </w:tc>
      </w:tr>
    </w:tbl>
    <w:p>
      <w:pPr>
        <w:spacing w:after="0"/>
      </w:pPr>
    </w:p>
    <w:p>
      <w:r>
        <w:t>The few records with many changes should not dominate an operational rule. The complete table retains all observed change counts. A useful follow-up would join request fulfillment, complaint records and post-stay survey scores to a stable booking ID. That would make it possible to study whether changes create service problems or help guests get what they need.</w:t>
      </w:r>
    </w:p>
    <w:p>
      <w:pPr>
        <w:pStyle w:val="Heading1"/>
        <w:pageBreakBefore/>
      </w:pPr>
      <w:r>
        <w:t>Seasonal cancellation patterns</w:t>
      </w:r>
    </w:p>
    <w:p>
      <w:pPr>
        <w:pStyle w:val="Heading2"/>
      </w:pPr>
      <w:r>
        <w:t>A04 Seasonal cancellation patterns</w:t>
      </w:r>
    </w:p>
    <w:p>
      <w:r>
        <w:t>Across all observed years, summer has the highest cancellation rate at 38.73% and winter the lowest at 33.08%. The complete year 2016 gives a different ranking: autumn is highest at 38.45%, followed by summer at 36.31%, spring at 34.67% and winter at 32.92%. This difference warns against assuming a stable seasonal rule from a partial multi-year sample. Seasonal terms are not significant at the adjusted 5% level in the baseline logistic model.</w:t>
      </w:r>
    </w:p>
    <w:p>
      <w:pPr>
        <w:spacing w:after="180"/>
      </w:pPr>
      <w:r>
        <w:t>Calculation: Define Northern Hemisphere seasons; calculate canceled / bookings by season and month, with a separate complete-2016 view.</w:t>
      </w:r>
    </w:p>
    <w:p>
      <w:r>
        <w:drawing>
          <wp:inline xmlns:a="http://schemas.openxmlformats.org/drawingml/2006/main" xmlns:pic="http://schemas.openxmlformats.org/drawingml/2006/picture">
            <wp:extent cx="5303520" cy="2500231"/>
            <wp:docPr id="5" name="Picture 5"/>
            <wp:cNvGraphicFramePr>
              <a:graphicFrameLocks noChangeAspect="1"/>
            </wp:cNvGraphicFramePr>
            <a:graphic>
              <a:graphicData uri="http://schemas.openxmlformats.org/drawingml/2006/picture">
                <pic:pic>
                  <pic:nvPicPr>
                    <pic:cNvPr id="0" name="seasonal_cancellation.png"/>
                    <pic:cNvPicPr/>
                  </pic:nvPicPr>
                  <pic:blipFill>
                    <a:blip r:embed="rId13"/>
                    <a:stretch>
                      <a:fillRect/>
                    </a:stretch>
                  </pic:blipFill>
                  <pic:spPr>
                    <a:xfrm>
                      <a:off x="0" y="0"/>
                      <a:ext cx="5303520" cy="2500231"/>
                    </a:xfrm>
                    <a:prstGeom prst="rect"/>
                  </pic:spPr>
                </pic:pic>
              </a:graphicData>
            </a:graphic>
          </wp:inline>
        </w:drawing>
      </w:r>
    </w:p>
    <w:tbl>
      <w:tblPr>
        <w:tblW w:type="auto" w:w="0"/>
        <w:jc w:val="center"/>
        <w:tblLayout w:type="fixed"/>
        <w:tblLook w:firstColumn="1" w:firstRow="1" w:lastColumn="0" w:lastRow="0" w:noHBand="0" w:noVBand="1" w:val="04A0"/>
      </w:tblPr>
      <w:tblGrid>
        <w:gridCol w:w="4608"/>
        <w:gridCol w:w="1872"/>
        <w:gridCol w:w="1872"/>
        <w:gridCol w:w="1872"/>
      </w:tblGrid>
      <w:tr>
        <w:trPr>
          <w:tblHeader/>
          <w:cantSplit/>
        </w:trPr>
        <w:tc>
          <w:tcPr>
            <w:tcW w:type="dxa" w:w="460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Season in 2016</w:t>
            </w:r>
          </w:p>
        </w:tc>
        <w:tc>
          <w:tcPr>
            <w:tcW w:type="dxa" w:w="1872"/>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Bookings</w:t>
            </w:r>
          </w:p>
        </w:tc>
        <w:tc>
          <w:tcPr>
            <w:tcW w:type="dxa" w:w="1872"/>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Canceled</w:t>
            </w:r>
          </w:p>
        </w:tc>
        <w:tc>
          <w:tcPr>
            <w:tcW w:type="dxa" w:w="1872"/>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Rate</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Autumn</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16,051</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6,172</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38.45%</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Spring</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15,730</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5,453</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34.67%</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Summer</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14,927</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5,420</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36.31%</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Winter</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9,999</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3,292</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32.92%</w:t>
            </w:r>
          </w:p>
        </w:tc>
      </w:tr>
    </w:tbl>
    <w:p>
      <w:pPr>
        <w:spacing w:after="0"/>
      </w:pPr>
    </w:p>
    <w:p>
      <w:r>
        <w:t>Winter means December to February, spring March to May, summer June to August and autumn September to November. These calendar groupings are analyst definitions. The workbook contains pooled months and seasons as well as the complete-2016 comparison.</w:t>
      </w:r>
    </w:p>
    <w:p>
      <w:pPr>
        <w:pStyle w:val="Heading1"/>
        <w:pageBreakBefore/>
      </w:pPr>
      <w:r>
        <w:t>Lead time by market segment</w:t>
      </w:r>
    </w:p>
    <w:p>
      <w:pPr>
        <w:pStyle w:val="Heading2"/>
      </w:pPr>
      <w:r>
        <w:t>A05 Lead time across market segments</w:t>
      </w:r>
    </w:p>
    <w:p>
      <w:r>
        <w:t>Groups book farthest ahead, with a median of 162 days and a middle-half range of 70 to 285 days. Offline TA/TO has a median of 109 days, Online TA 58, Direct 16 and Corporate 7. Aviation and Complementary each have a median of 3 days. Undefined has only two records. These distributions can help choose when to send confirmations and reminders for each segment.</w:t>
      </w:r>
    </w:p>
    <w:p>
      <w:pPr>
        <w:spacing w:after="180"/>
      </w:pPr>
      <w:r>
        <w:t>Calculation: Group lead_time by market_segment; calculate median, quartiles and percentiles; draw a boxplot.</w:t>
      </w:r>
    </w:p>
    <w:p>
      <w:r>
        <w:drawing>
          <wp:inline xmlns:a="http://schemas.openxmlformats.org/drawingml/2006/main" xmlns:pic="http://schemas.openxmlformats.org/drawingml/2006/picture">
            <wp:extent cx="5303520" cy="2879054"/>
            <wp:docPr id="6" name="Picture 6"/>
            <wp:cNvGraphicFramePr>
              <a:graphicFrameLocks noChangeAspect="1"/>
            </wp:cNvGraphicFramePr>
            <a:graphic>
              <a:graphicData uri="http://schemas.openxmlformats.org/drawingml/2006/picture">
                <pic:pic>
                  <pic:nvPicPr>
                    <pic:cNvPr id="0" name="lead_segment_boxplot.png"/>
                    <pic:cNvPicPr/>
                  </pic:nvPicPr>
                  <pic:blipFill>
                    <a:blip r:embed="rId14"/>
                    <a:stretch>
                      <a:fillRect/>
                    </a:stretch>
                  </pic:blipFill>
                  <pic:spPr>
                    <a:xfrm>
                      <a:off x="0" y="0"/>
                      <a:ext cx="5303520" cy="2879054"/>
                    </a:xfrm>
                    <a:prstGeom prst="rect"/>
                  </pic:spPr>
                </pic:pic>
              </a:graphicData>
            </a:graphic>
          </wp:inline>
        </w:drawing>
      </w:r>
    </w:p>
    <w:tbl>
      <w:tblPr>
        <w:tblW w:type="auto" w:w="0"/>
        <w:jc w:val="center"/>
        <w:tblLayout w:type="fixed"/>
        <w:tblLook w:firstColumn="1" w:firstRow="1" w:lastColumn="0" w:lastRow="0" w:noHBand="0" w:noVBand="1" w:val="04A0"/>
      </w:tblPr>
      <w:tblGrid>
        <w:gridCol w:w="3888"/>
        <w:gridCol w:w="1584"/>
        <w:gridCol w:w="1584"/>
        <w:gridCol w:w="1584"/>
        <w:gridCol w:w="1584"/>
      </w:tblGrid>
      <w:tr>
        <w:trPr>
          <w:tblHeader/>
          <w:cantSplit/>
        </w:trPr>
        <w:tc>
          <w:tcPr>
            <w:tcW w:type="dxa" w:w="388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Segment</w:t>
            </w:r>
          </w:p>
        </w:tc>
        <w:tc>
          <w:tcPr>
            <w:tcW w:type="dxa" w:w="1584"/>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Bookings</w:t>
            </w:r>
          </w:p>
        </w:tc>
        <w:tc>
          <w:tcPr>
            <w:tcW w:type="dxa" w:w="1584"/>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Median days</w:t>
            </w:r>
          </w:p>
        </w:tc>
        <w:tc>
          <w:tcPr>
            <w:tcW w:type="dxa" w:w="1584"/>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Q1 days</w:t>
            </w:r>
          </w:p>
        </w:tc>
        <w:tc>
          <w:tcPr>
            <w:tcW w:type="dxa" w:w="1584"/>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Q3 days</w:t>
            </w:r>
          </w:p>
        </w:tc>
      </w:tr>
      <w:tr>
        <w:trPr>
          <w:cantSplit/>
        </w:trPr>
        <w:tc>
          <w:tcPr>
            <w:tcW w:type="dxa" w:w="38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Aviation</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237</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3</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6</w:t>
            </w:r>
          </w:p>
        </w:tc>
      </w:tr>
      <w:tr>
        <w:trPr>
          <w:cantSplit/>
        </w:trPr>
        <w:tc>
          <w:tcPr>
            <w:tcW w:type="dxa" w:w="38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Complementary</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743</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3</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11</w:t>
            </w:r>
          </w:p>
        </w:tc>
      </w:tr>
      <w:tr>
        <w:trPr>
          <w:cantSplit/>
        </w:trPr>
        <w:tc>
          <w:tcPr>
            <w:tcW w:type="dxa" w:w="38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Corporate</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5,295</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7</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2</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26.50</w:t>
            </w:r>
          </w:p>
        </w:tc>
      </w:tr>
      <w:tr>
        <w:trPr>
          <w:cantSplit/>
        </w:trPr>
        <w:tc>
          <w:tcPr>
            <w:tcW w:type="dxa" w:w="38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Direct</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12,606</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16</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75</w:t>
            </w:r>
          </w:p>
        </w:tc>
      </w:tr>
      <w:tr>
        <w:trPr>
          <w:cantSplit/>
        </w:trPr>
        <w:tc>
          <w:tcPr>
            <w:tcW w:type="dxa" w:w="38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Groups</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19,811</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162</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70</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285</w:t>
            </w:r>
          </w:p>
        </w:tc>
      </w:tr>
      <w:tr>
        <w:trPr>
          <w:cantSplit/>
        </w:trPr>
        <w:tc>
          <w:tcPr>
            <w:tcW w:type="dxa" w:w="38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Offline TA/TO</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24,219</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109</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40</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201</w:t>
            </w:r>
          </w:p>
        </w:tc>
      </w:tr>
      <w:tr>
        <w:trPr>
          <w:cantSplit/>
        </w:trPr>
        <w:tc>
          <w:tcPr>
            <w:tcW w:type="dxa" w:w="38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Online TA</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56,477</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58</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18</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129</w:t>
            </w:r>
          </w:p>
        </w:tc>
      </w:tr>
      <w:tr>
        <w:trPr>
          <w:cantSplit/>
        </w:trPr>
        <w:tc>
          <w:tcPr>
            <w:tcW w:type="dxa" w:w="38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Undefined</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1.500</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1.250</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1.750</w:t>
            </w:r>
          </w:p>
        </w:tc>
      </w:tr>
    </w:tbl>
    <w:p>
      <w:pPr>
        <w:spacing w:after="0"/>
      </w:pPr>
    </w:p>
    <w:p>
      <w:r>
        <w:t>Boxes show the middle half of lead times, with a median line. Whiskers use 1.5 times the interquartile range. Outlier points are hidden for readability but remain in the calculations and full CSV table.</w:t>
      </w:r>
    </w:p>
    <w:p>
      <w:pPr>
        <w:pStyle w:val="Heading1"/>
        <w:pageBreakBefore/>
      </w:pPr>
      <w:r>
        <w:t>Recommendations for hotel operations</w:t>
      </w:r>
    </w:p>
    <w:p>
      <w:pPr>
        <w:pStyle w:val="Heading2"/>
      </w:pPr>
      <w:r>
        <w:t>Review long advance bookings</w:t>
      </w:r>
    </w:p>
    <w:p>
      <w:r>
        <w:t>Start with Groups and Offline TA/TO, whose median lead times are 162 and 109 days. Test a confirmation schedule before the arrival date and measure changes in cancellation timing, net room income and staff workload. Do not use the model to cancel a reservation or change a deposit automatically.</w:t>
      </w:r>
    </w:p>
    <w:p>
      <w:pPr>
        <w:pStyle w:val="Heading2"/>
      </w:pPr>
      <w:r>
        <w:t>Compare channels using net value</w:t>
      </w:r>
    </w:p>
    <w:p>
      <w:r>
        <w:t>TA/TO contributes 81.98% of records, but its volume does not reveal commission cost or margin. Add commissions, cancellation fees and fulfilled room-nights before deciding whether to shift business toward Direct. Compare similar rooms, months and guest mixes rather than overall averages alone.</w:t>
      </w:r>
    </w:p>
    <w:p>
      <w:pPr>
        <w:pStyle w:val="Heading2"/>
      </w:pPr>
      <w:r>
        <w:t>Plan service work from recorded needs</w:t>
      </w:r>
    </w:p>
    <w:p>
      <w:r>
        <w:t>Use request counts and parking demand to plan preparation. Confirm what guests requested and whether the hotel fulfilled it. Collect an actual satisfaction measure before evaluating the effect of requests or booking changes on the guest experience.</w:t>
      </w:r>
    </w:p>
    <w:p>
      <w:pPr>
        <w:pStyle w:val="Heading2"/>
      </w:pPr>
      <w:r>
        <w:t>Build a usable operations record</w:t>
      </w:r>
    </w:p>
    <w:p>
      <w:r>
        <w:t>A stable booking ID would resolve duplicate handling and permit event histories. Daily room inventory would support occupancy. A revenue ledger would support actual revenue and profitability. Original booking-time snapshots would allow prediction testing without relying on final record values.</w:t>
      </w:r>
    </w:p>
    <w:p>
      <w:r>
        <w:t>These conclusions describe two historical properties from July 2015 to August 2017. The Elite Hotels International name belongs to the assignment scenario and is not an identified source operator. The data does not establish current hotel-market conditions.</w:t>
      </w:r>
    </w:p>
    <w:p>
      <w:pPr>
        <w:pStyle w:val="Heading1"/>
        <w:pageBreakBefore/>
      </w:pPr>
      <w:r>
        <w:t>Resources and reproduction</w:t>
      </w:r>
    </w:p>
    <w:p>
      <w:r>
        <w:t>The workbook contains Summary, Calendar, Segments, Guests, Models and Monthly inputs. Main totals, weighted means and cancellation rates are formulas linked to monthly source aggregates. Regression, correlation, quantile and guest-detail tables are labeled Python snapshots. All booking-level data, audit records and full tables are included in the project ZIP.</w:t>
      </w:r>
    </w:p>
    <w:p>
      <w:r>
        <w:t>Run analyze.py to rebuild data preparation, result tables, regressions and charts. Hotel_Analysis.ipynb provides an executed walkthrough for all 25 questions. README.md explains how to run the project and which presentation outputs require a separate rebuild. SourceRow is the original CSV row number including the header.</w:t>
      </w:r>
    </w:p>
    <w:p>
      <w:pPr>
        <w:pStyle w:val="Heading2"/>
      </w:pPr>
      <w:r>
        <w:t>Dataset origin and field definitions</w:t>
      </w:r>
    </w:p>
    <w:p>
      <w:r>
        <w:t>Antonio, N., de Almeida, A. and Nunes, L. (2019). Hotel booking demand datasets. Data in Brief, 22, 41–49. DOI 10.1016/j.dib.2018.11.126.</w:t>
      </w:r>
    </w:p>
    <w:p>
      <w:r>
        <w:t>https://pmc.ncbi.nlm.nih.gov/articles/PMC6297060/</w:t>
      </w:r>
    </w:p>
    <w:p>
      <w:pPr>
        <w:pStyle w:val="Heading2"/>
      </w:pPr>
      <w:r>
        <w:t>Supplied dataset listing</w:t>
      </w:r>
    </w:p>
    <w:p>
      <w:r>
        <w:t>The attached hotel_bookings.csv is the calculation source.</w:t>
      </w:r>
    </w:p>
    <w:p>
      <w:r>
        <w:t>https://www.kaggle.com/datasets/jessemostipak/hotel-booking-demand</w:t>
      </w:r>
    </w:p>
    <w:p>
      <w:pPr>
        <w:pStyle w:val="Heading2"/>
      </w:pPr>
      <w:r>
        <w:t>Logistic regression and prediction evaluation</w:t>
      </w:r>
    </w:p>
    <w:p>
      <w:r>
        <w:t>Official scikit-learn documentation describes LogisticRegression and classification metrics.</w:t>
      </w:r>
    </w:p>
    <w:p>
      <w:r>
        <w:t>https://scikit-learn.org/stable/modules/model_evaluation.html</w:t>
      </w:r>
    </w:p>
    <w:p>
      <w:pPr>
        <w:pStyle w:val="Heading2"/>
      </w:pPr>
      <w:r>
        <w:t>Least squares</w:t>
      </w:r>
    </w:p>
    <w:p>
      <w:r>
        <w:t>Official NumPy documentation for the numerical OLS solver.</w:t>
      </w:r>
    </w:p>
    <w:p>
      <w:r>
        <w:t>https://numpy.org/doc/stable/reference/generated/numpy.linalg.lstsq.html</w:t>
      </w:r>
    </w:p>
    <w:p>
      <w:pPr>
        <w:pStyle w:val="Heading2"/>
      </w:pPr>
      <w:r>
        <w:t>Logistic sigmoid</w:t>
      </w:r>
    </w:p>
    <w:p>
      <w:r>
        <w:t>Official SciPy documentation for expit.</w:t>
      </w:r>
    </w:p>
    <w:p>
      <w:r>
        <w:t>https://docs.scipy.org/doc/scipy/reference/generated/scipy.special.expit.html</w:t>
      </w:r>
    </w:p>
    <w:p>
      <w:r>
        <w:t>References checked on 6 October 2026. The healthcare and loan-analysis boilerplate at the end of the supplied brief is unrelated to the hotel questions. The analysis follows the hotel scope and corrects the revenue and occupancy definitions where required.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