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Manufacturing Calm: Civil Defense Pamphlets and the Shaping of Public Risk Perception in the Early Cold War, 1947 to 1962</w:t>
      </w:r>
    </w:p>
    <w:p>
      <w:pPr>
        <w:jc w:val="center"/>
      </w:pPr>
      <w:r>
        <w:rPr>
          <w:i/>
          <w:iCs/>
        </w:rPr>
        <w:t xml:space="preserve">Thesis — Master of Arts</w:t>
      </w:r>
    </w:p>
    <w:p>
      <w:pPr>
        <w:jc w:val="center"/>
      </w:pPr>
      <w:r>
        <w:t xml:space="preserve">A. Candidate  ·  History  ·  2026</w:t>
      </w:r>
    </w:p>
    <w:p>
      <w:r>
        <w:t xml:space="preserve"/>
      </w:r>
    </w:p>
    <w:p>
      <w:pPr>
        <w:pBdr>
          <w:top w:val="single" w:color="B8922A" w:sz="6"/>
          <w:bottom w:val="single" w:color="B8922A" w:sz="6"/>
        </w:pBdr>
      </w:pPr>
      <w:r>
        <w:rPr>
          <w:i/>
          <w:iCs/>
          <w:color w:val="7A7A7A"/>
          <w:sz w:val="18"/>
          <w:szCs w:val="18"/>
        </w:rPr>
        <w:t xml:space="preserve">SAMPLE EXEMPLAR — FOR PRACTICE AND STRUCTURE ONLY. This is a fictional, abbreviated example created by the Emerging Technologies Laboratory to demonstrate how a thesis or dissertation is organized and to give you something to defend in The Prep Room. Your institution and program almost certainly have their own required template, formatting, and submission rules. Always follow your university's official guidelines over this example. Citations shown here are illustrative of format only and are not real sources.</w:t>
      </w:r>
    </w:p>
    <w:p>
      <w:r>
        <w:t xml:space="preserve"/>
      </w:r>
    </w:p>
    <w:p>
      <w:pPr>
        <w:pStyle w:val="Heading1"/>
      </w:pPr>
      <w:r>
        <w:t xml:space="preserve">Abstract</w:t>
      </w:r>
    </w:p>
    <w:p>
      <w:r>
        <w:t xml:space="preserve">Between 1947 and 1962, United States civil defense agencies distributed millions of pamphlets instructing citizens how to survive a nuclear attack. This thesis treats those pamphlets as primary sources to argue that civil defense literature worked less to protect the public than to manage public emotion, converting an unmanageable threat into a set of routine domestic tasks. Through close reading of pamphlets, agency memoranda, and contemporary press in archival collections, the study traces a rhetorical shift from technical instruction toward reassurance, and shows how the imagery of the prepared household displaced debate about the survivability of nuclear war.</w:t>
      </w:r>
    </w:p>
    <w:p>
      <w:pPr>
        <w:pStyle w:val="Heading1"/>
      </w:pPr>
      <w:r>
        <w:t xml:space="preserve">Chapter 1: Introduction</w:t>
      </w:r>
    </w:p>
    <w:p>
      <w:pPr>
        <w:spacing w:after="160"/>
      </w:pPr>
      <w:r>
        <w:t xml:space="preserve">The early Cold War confronted ordinary Americans with a threat they could neither see nor control. Civil defense pamphlets, with their tidy diagrams of fallout shelters and stocked pantries, promised that survival was a matter of preparation. This thesis asks what work those documents actually performed in shaping how the public understood nuclear risk.</w:t>
      </w:r>
    </w:p>
    <w:p>
      <w:pPr>
        <w:spacing w:after="160"/>
      </w:pPr>
      <w:r>
        <w:t xml:space="preserve">The central argument is that civil defense literature functioned as emotional management: by reframing catastrophe as a household chore, it produced calm and compliance more than genuine protection. The introduction situates this claim within the historiography of Cold War culture.</w:t>
      </w:r>
    </w:p>
    <w:p>
      <w:pPr>
        <w:pStyle w:val="Heading1"/>
      </w:pPr>
      <w:r>
        <w:t xml:space="preserve">Chapter 2: Historiography and Sources</w:t>
      </w:r>
    </w:p>
    <w:p>
      <w:pPr>
        <w:spacing w:after="160"/>
      </w:pPr>
      <w:r>
        <w:t xml:space="preserve">Scholars have read civil defense variously as sincere policy, as propaganda, and as a window into domestic ideology. This thesis builds on the cultural-history strand while pressing on a gap: close textual analysis of the pamphlets themselves, read alongside the internal agency debates that produced them.</w:t>
      </w:r>
    </w:p>
    <w:p>
      <w:pPr>
        <w:spacing w:after="160"/>
      </w:pPr>
      <w:r>
        <w:t xml:space="preserve">Primary sources include pamphlet runs, agency planning memoranda, and regional newspaper coverage drawn from archival collections. The chapter explains source selection, the limits of the surviving record, and the method of close reading used throughout.</w:t>
      </w:r>
    </w:p>
    <w:p>
      <w:pPr>
        <w:pStyle w:val="Heading1"/>
      </w:pPr>
      <w:r>
        <w:t xml:space="preserve">Chapter 3: From Instruction to Reassurance</w:t>
      </w:r>
    </w:p>
    <w:p>
      <w:pPr>
        <w:spacing w:after="160"/>
      </w:pPr>
      <w:r>
        <w:t xml:space="preserve">Early pamphlets emphasized technical instruction, detailing shelter construction and supply lists. Over time the documents shifted toward reassurance, foregrounding images of orderly families and confident routines while muting discussion of casualties.</w:t>
      </w:r>
    </w:p>
    <w:p>
      <w:pPr>
        <w:spacing w:after="160"/>
      </w:pPr>
      <w:r>
        <w:t xml:space="preserve">This chapter traces that shift across successive editions, showing how revisions removed alarming detail and amplified the iconography of the prepared, calm household.</w:t>
      </w:r>
    </w:p>
    <w:p>
      <w:pPr>
        <w:pStyle w:val="Heading1"/>
      </w:pPr>
      <w:r>
        <w:t xml:space="preserve">Chapter 4: The Prepared Household as Argument</w:t>
      </w:r>
    </w:p>
    <w:p>
      <w:pPr>
        <w:spacing w:after="160"/>
      </w:pPr>
      <w:r>
        <w:t xml:space="preserve">The recurring figure of the prepared household carried an implicit argument: that nuclear war was survivable for those who complied. By locating responsibility in domestic preparation, the pamphlets shifted attention from policy and deterrence to individual behavior.</w:t>
      </w:r>
    </w:p>
    <w:p>
      <w:pPr>
        <w:spacing w:after="160"/>
      </w:pPr>
      <w:r>
        <w:t xml:space="preserve">Press coverage both amplified and occasionally questioned this framing, and the chapter reads those exchanges to show the contested reception of official reassurance.</w:t>
      </w:r>
    </w:p>
    <w:p>
      <w:pPr>
        <w:pStyle w:val="Heading1"/>
      </w:pPr>
      <w:r>
        <w:t xml:space="preserve">Chapter 5: Discussion</w:t>
      </w:r>
    </w:p>
    <w:p>
      <w:pPr>
        <w:spacing w:after="160"/>
      </w:pPr>
      <w:r>
        <w:t xml:space="preserve">Read together, the sources support the claim that civil defense literature managed emotion and manufactured a sense of control. The analysis contributes to understanding how states communicate unmanageable risk and how visual and rhetorical choices steer public perception.</w:t>
      </w:r>
    </w:p>
    <w:p>
      <w:pPr>
        <w:spacing w:after="160"/>
      </w:pPr>
      <w:r>
        <w:t xml:space="preserve">Limitations include the partial survival of the archival record and the difficulty of measuring actual public belief from published materials. The chapter addresses these constraints and the interpretive nature of the evidence.</w:t>
      </w:r>
    </w:p>
    <w:p>
      <w:pPr>
        <w:pStyle w:val="Heading1"/>
      </w:pPr>
      <w:r>
        <w:t xml:space="preserve">Chapter 6: Conclusion</w:t>
      </w:r>
    </w:p>
    <w:p>
      <w:pPr>
        <w:spacing w:after="160"/>
      </w:pPr>
      <w:r>
        <w:t xml:space="preserve">This thesis argued that early Cold War civil defense pamphlets shaped risk perception by converting catastrophe into routine, producing calm in place of protection. The contribution is a close reading that links rhetorical form to political function. Future work might compare these materials with civil defense literature in other nations or extend the analysis past 1962.</w:t>
      </w:r>
    </w:p>
    <w:p>
      <w:pPr>
        <w:pStyle w:val="Heading1"/>
      </w:pPr>
      <w:r>
        <w:t xml:space="preserve">References</w:t>
      </w:r>
    </w:p>
    <w:p>
      <w:pPr>
        <w:spacing w:after="80"/>
      </w:pPr>
      <w:r>
        <w:rPr>
          <w:sz w:val="20"/>
          <w:szCs w:val="20"/>
        </w:rPr>
        <w:t xml:space="preserve">Author, A. B. (Year). Cold War civil defense and domestic ideology. Journal of American History, Vol(Issue), pages.</w:t>
      </w:r>
    </w:p>
    <w:p>
      <w:pPr>
        <w:spacing w:after="80"/>
      </w:pPr>
      <w:r>
        <w:rPr>
          <w:sz w:val="20"/>
          <w:szCs w:val="20"/>
        </w:rPr>
        <w:t xml:space="preserve">Author, C. D. (Year). The culture of preparedness. Diplomatic History, Vol(Issue), pages.</w:t>
      </w:r>
    </w:p>
    <w:p>
      <w:pPr>
        <w:spacing w:after="80"/>
      </w:pPr>
      <w:r>
        <w:rPr>
          <w:sz w:val="20"/>
          <w:szCs w:val="20"/>
        </w:rPr>
        <w:t xml:space="preserve">Author, E. F. (Year). Reading the pamphlet as a source. Book History, Vol(Issue), pages.</w:t>
      </w:r>
    </w:p>
    <w:p>
      <w:pPr>
        <w:spacing w:after="80"/>
      </w:pPr>
      <w:r>
        <w:rPr>
          <w:sz w:val="20"/>
          <w:szCs w:val="20"/>
        </w:rPr>
        <w:t xml:space="preserve">Author, G. H. (Year). Risk, emotion, and the state. Journal of Social History, Vol(Issue), pages.</w:t>
      </w:r>
    </w:p>
    <w:p>
      <w:pPr>
        <w:spacing w:after="80"/>
      </w:pPr>
      <w:r>
        <w:rPr>
          <w:sz w:val="20"/>
          <w:szCs w:val="20"/>
        </w:rPr>
        <w:t xml:space="preserve">Primary collection: Civil Defense Records, [Repository Name], Box/Folder (illustrative).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Calm: Civil Defense Pamphlets and the Shaping of Public Risk Perception in the Early Cold War, 1947 to 1962</dc:title>
  <dc:creator>Emerging Technologies Laboratory</dc:creator>
  <cp:lastModifiedBy>Un-named</cp:lastModifiedBy>
  <cp:revision>1</cp:revision>
  <dcterms:created xsi:type="dcterms:W3CDTF">2026-05-29T12:37:54.142Z</dcterms:created>
  <dcterms:modified xsi:type="dcterms:W3CDTF">2026-05-29T12:37:54.142Z</dcterms:modified>
</cp:coreProperties>
</file>

<file path=docProps/custom.xml><?xml version="1.0" encoding="utf-8"?>
<Properties xmlns="http://schemas.openxmlformats.org/officeDocument/2006/custom-properties" xmlns:vt="http://schemas.openxmlformats.org/officeDocument/2006/docPropsVTypes"/>
</file>