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Calibri" w:cs="Calibri" w:eastAsia="Calibri" w:hAnsi="Calibri"/>
          <w:b/>
          <w:bCs/>
          <w:color w:val="666680"/>
          <w:sz w:val="18"/>
          <w:szCs w:val="18"/>
        </w:rPr>
        <w:t xml:space="preserve">DESIGN BRIEF</w:t>
      </w:r>
    </w:p>
    <w:p>
      <w:pPr>
        <w:spacing w:after="40"/>
        <w:jc w:val="center"/>
      </w:pPr>
      <w:r>
        <w:rPr>
          <w:rFonts w:ascii="Calibri" w:cs="Calibri" w:eastAsia="Calibri" w:hAnsi="Calibri"/>
          <w:b/>
          <w:bCs/>
          <w:color w:val="1A1A2E"/>
          <w:sz w:val="52"/>
          <w:szCs w:val="52"/>
        </w:rPr>
        <w:t xml:space="preserve">NEON VAULT</w:t>
      </w:r>
    </w:p>
    <w:p>
      <w:pPr>
        <w:spacing w:after="200"/>
        <w:jc w:val="center"/>
      </w:pPr>
      <w:r>
        <w:rPr>
          <w:rFonts w:ascii="Calibri" w:cs="Calibri" w:eastAsia="Calibri" w:hAnsi="Calibri"/>
          <w:color w:val="666680"/>
          <w:sz w:val="24"/>
          <w:szCs w:val="24"/>
        </w:rPr>
        <w:t xml:space="preserve">Cyberpunk Slot Game — Symbol &amp; Asset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4"/>
              <w:right w:val="none" w:sz="0"/>
            </w:tcBorders>
            <w:tcMar>
              <w:top w:type="dxa" w:w="0"/>
              <w:left w:type="dxa" w:w="0"/>
              <w:bottom w:type="dxa" w:w="0"/>
              <w:right w:type="dxa" w:w="0"/>
            </w:tcMar>
          </w:tc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Client</w:t>
            </w:r>
          </w:p>
        </w:tc>
        <w:tc>
          <w:tcPr>
            <w:tcW w:type="dxa" w:w="69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Stef / Neon Vault</w:t>
            </w:r>
          </w:p>
        </w:tc>
      </w:tr>
      <w:tr>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Platform</w:t>
            </w:r>
          </w:p>
        </w:tc>
        <w:tc>
          <w:tcPr>
            <w:tcW w:type="dxa" w:w="69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Stake Engine (Stake.com) — Online slot game</w:t>
            </w:r>
          </w:p>
        </w:tc>
      </w:tr>
      <w:tr>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Theme</w:t>
            </w:r>
          </w:p>
        </w:tc>
        <w:tc>
          <w:tcPr>
            <w:tcW w:type="dxa" w:w="69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Neon Cyberpunk / Futuristic</w:t>
            </w:r>
          </w:p>
        </w:tc>
      </w:tr>
      <w:tr>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Deliverables</w:t>
            </w:r>
          </w:p>
        </w:tc>
        <w:tc>
          <w:tcPr>
            <w:tcW w:type="dxa" w:w="69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9 symbol designs + background + logo (16 assets total)</w:t>
            </w:r>
          </w:p>
        </w:tc>
      </w:tr>
      <w:tr>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Format</w:t>
            </w:r>
          </w:p>
        </w:tc>
        <w:tc>
          <w:tcPr>
            <w:tcW w:type="dxa" w:w="69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 with transparent backgrounds</w:t>
            </w:r>
          </w:p>
        </w:tc>
      </w:tr>
      <w:tr>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Style</w:t>
            </w:r>
          </w:p>
        </w:tc>
        <w:tc>
          <w:tcPr>
            <w:tcW w:type="dxa" w:w="69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Neon glow on dark, geometric, clean, premium casino feel</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1. PROJECT OVERVIEW</w:t>
            </w:r>
          </w:p>
        </w:tc>
      </w:tr>
    </w:tbl>
    <w:p>
      <w:pPr>
        <w:spacing w:before="100"/>
      </w:pPr>
    </w:p>
    <w:p>
      <w:pPr>
        <w:spacing w:after="160" w:line="300"/>
      </w:pPr>
      <w:r>
        <w:rPr>
          <w:rFonts w:ascii="Calibri" w:cs="Calibri" w:eastAsia="Calibri" w:hAnsi="Calibri"/>
          <w:color w:val="1A1A2E"/>
          <w:sz w:val="22"/>
          <w:szCs w:val="22"/>
        </w:rPr>
        <w:t xml:space="preserve">Neon Vault is a 5-reel, 3-row online slot game being built for Stake Engine (Stake.com). The game has a cyberpunk/futuristic aesthetic with a neon-on-dark colour scheme. We need a set of 9 reel symbols designed, plus a background image and game logo.</w:t>
      </w:r>
    </w:p>
    <w:p>
      <w:pPr>
        <w:spacing w:after="160" w:line="300"/>
      </w:pPr>
      <w:r>
        <w:rPr>
          <w:rFonts w:ascii="Calibri" w:cs="Calibri" w:eastAsia="Calibri" w:hAnsi="Calibri"/>
          <w:color w:val="1A1A2E"/>
          <w:sz w:val="22"/>
          <w:szCs w:val="22"/>
        </w:rPr>
        <w:t xml:space="preserve">The symbols will appear on spinning reels and need to be instantly recognizable, visually distinct from each other, and readable at small sizes (140×130px on screen). The design must feel premium and polished — this is a real-money gambling product.</w:t>
      </w:r>
    </w:p>
    <w:p>
      <w:pPr>
        <w:spacing w:after="160" w:line="300"/>
      </w:pPr>
      <w:r>
        <w:rPr>
          <w:rFonts w:ascii="Calibri" w:cs="Calibri" w:eastAsia="Calibri" w:hAnsi="Calibri"/>
          <w:b/>
          <w:bCs/>
          <w:color w:val="1A1A2E"/>
          <w:sz w:val="22"/>
          <w:szCs w:val="22"/>
        </w:rPr>
        <w:t xml:space="preserve">Key references: </w:t>
      </w:r>
      <w:r>
        <w:rPr>
          <w:rFonts w:ascii="Calibri" w:cs="Calibri" w:eastAsia="Calibri" w:hAnsi="Calibri"/>
          <w:color w:val="1A1A2E"/>
          <w:sz w:val="22"/>
          <w:szCs w:val="22"/>
        </w:rPr>
        <w:t xml:space="preserve">Think Blade Runner meets high-end casino. Neon signs, holographic textures, circuit board patterns, dark metallic surfaces with glowing edges. The vibe is futuristic vault/heist — the game is called "Neon Vault" and has a bonus round called "Hack the Vault".</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2. COLOUR PALETTE</w:t>
            </w:r>
          </w:p>
        </w:tc>
      </w:tr>
    </w:tbl>
    <w:p>
      <w:pPr>
        <w:spacing w:before="100"/>
      </w:pPr>
    </w:p>
    <w:p>
      <w:pPr>
        <w:spacing w:after="160" w:line="300"/>
      </w:pPr>
      <w:r>
        <w:rPr>
          <w:rFonts w:ascii="Calibri" w:cs="Calibri" w:eastAsia="Calibri" w:hAnsi="Calibri"/>
          <w:color w:val="1A1A2E"/>
          <w:sz w:val="22"/>
          <w:szCs w:val="22"/>
        </w:rPr>
        <w:t xml:space="preserve">All designs must use this neon-on-dark palette. Symbols should feel like they glow against a near-black background.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COLOUR</w:t>
            </w:r>
          </w:p>
        </w:tc>
        <w:tc>
          <w:tcPr>
            <w:tcW w:type="dxa" w:w="18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HEX</w:t>
            </w:r>
          </w:p>
        </w:tc>
        <w:tc>
          <w:tcPr>
            <w:tcW w:type="dxa" w:w="576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USAGE</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00B0BB"/>
                <w:sz w:val="20"/>
                <w:szCs w:val="20"/>
              </w:rPr>
              <w:t xml:space="preserve">Neon Cyan</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B0BB"/>
                <w:sz w:val="20"/>
                <w:szCs w:val="20"/>
              </w:rPr>
              <w:t xml:space="preserve">#00F0FF</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Primary accent. Wild symbol, UI elements, reel frame. The dominant neon colour.</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CC0088"/>
                <w:sz w:val="20"/>
                <w:szCs w:val="20"/>
              </w:rPr>
              <w:t xml:space="preserve">Neon Magenta</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88"/>
                <w:sz w:val="20"/>
                <w:szCs w:val="20"/>
              </w:rPr>
              <w:t xml:space="preserve">#FF00AA</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Secondary accent. Ruby symbol, high-value glow effects, bonus meter.</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8800CC"/>
                <w:sz w:val="20"/>
                <w:szCs w:val="20"/>
              </w:rPr>
              <w:t xml:space="preserve">Neon Purple</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8800CC"/>
                <w:sz w:val="20"/>
                <w:szCs w:val="20"/>
              </w:rPr>
              <w:t xml:space="preserve">#B400FF</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Tertiary accent. Background glow, particle effects.</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AA9900"/>
                <w:sz w:val="20"/>
                <w:szCs w:val="20"/>
              </w:rPr>
              <w:t xml:space="preserve">Neon Yellow</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AA9900"/>
                <w:sz w:val="20"/>
                <w:szCs w:val="20"/>
              </w:rPr>
              <w:t xml:space="preserve">#FFE600</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Win highlights, Scatter symbol, bonus prizes.</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00AA66"/>
                <w:sz w:val="20"/>
                <w:szCs w:val="20"/>
              </w:rPr>
              <w:t xml:space="preserve">Neon Green</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AA66"/>
                <w:sz w:val="20"/>
                <w:szCs w:val="20"/>
              </w:rPr>
              <w:t xml:space="preserve">#00FF88</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Emerald symbol, Scatter secondary colour, profit indicators.</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Deep Black</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666680"/>
                <w:sz w:val="20"/>
                <w:szCs w:val="20"/>
              </w:rPr>
              <w:t xml:space="preserve">#06060F</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Primary background. Near-black with slight blue tint.</w:t>
            </w:r>
          </w:p>
        </w:tc>
      </w:tr>
      <w:tr>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666680"/>
                <w:sz w:val="20"/>
                <w:szCs w:val="20"/>
              </w:rPr>
              <w:t xml:space="preserve">Dark Card</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666680"/>
                <w:sz w:val="20"/>
                <w:szCs w:val="20"/>
              </w:rPr>
              <w:t xml:space="preserve">#0C0C24</w:t>
            </w:r>
          </w:p>
        </w:tc>
        <w:tc>
          <w:tcPr>
            <w:tcW w:type="dxa" w:w="5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Symbol tile backgrounds, panel backgrounds.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3. SYMBOL SPECIFICATIONS</w:t>
            </w:r>
          </w:p>
        </w:tc>
      </w:tr>
    </w:tbl>
    <w:p>
      <w:pPr>
        <w:spacing w:before="100"/>
      </w:pPr>
    </w:p>
    <w:p>
      <w:pPr>
        <w:pStyle w:val="Heading3"/>
        <w:spacing w:before="300" w:after="120"/>
      </w:pPr>
      <w:r>
        <w:t xml:space="preserve">Technical Specs (All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Canvas Size</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 × 256 pixels</w:t>
            </w:r>
          </w:p>
        </w:tc>
      </w:tr>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Rendered Size</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140 × 130 pixels on screen (so design at 2x for retina)</w:t>
            </w:r>
          </w:p>
        </w:tc>
      </w:tr>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Format</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 with transparent background</w:t>
            </w:r>
          </w:p>
        </w:tc>
      </w:tr>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Safe Zone</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Keep main artwork within inner 224 × 224px (16px margin on all sides)</w:t>
            </w:r>
          </w:p>
        </w:tc>
      </w:tr>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Core Art Zone</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Main graphic within inner 176 × 166px (40px margin, 50px bottom)</w:t>
            </w:r>
          </w:p>
        </w:tc>
      </w:tr>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Background</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Transparent. The game engine draws a dark rounded-rect tile behind each symbol.</w:t>
            </w:r>
          </w:p>
        </w:tc>
      </w:tr>
      <w:tr>
        <w:tc>
          <w:tcPr>
            <w:tcW w:type="dxa" w:w="30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Style Notes</w:t>
            </w:r>
          </w:p>
        </w:tc>
        <w:tc>
          <w:tcPr>
            <w:tcW w:type="dxa" w:w="63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Neon glow/bloom effects around edges. Symbols should feel like they emit light. No drop shadows — use glow instead.</w:t>
            </w:r>
          </w:p>
        </w:tc>
      </w:tr>
    </w:tbl>
    <w:p>
      <w:pPr>
        <w:spacing w:before="200"/>
      </w:pPr>
    </w:p>
    <w:p>
      <w:pPr>
        <w:pStyle w:val="Heading3"/>
        <w:spacing w:before="300" w:after="120"/>
      </w:pPr>
      <w:r>
        <w:t xml:space="preserve">Visual Hierarchy</w:t>
      </w:r>
    </w:p>
    <w:p>
      <w:pPr>
        <w:spacing w:after="160" w:line="300"/>
      </w:pPr>
      <w:r>
        <w:rPr>
          <w:rFonts w:ascii="Calibri" w:cs="Calibri" w:eastAsia="Calibri" w:hAnsi="Calibri"/>
          <w:color w:val="1A1A2E"/>
          <w:sz w:val="22"/>
          <w:szCs w:val="22"/>
        </w:rPr>
        <w:t xml:space="preserve">There are 3 visual tiers. The hierarchy must be immediately obvious at a glance:</w:t>
      </w:r>
    </w:p>
    <w:p>
      <w:pPr>
        <w:spacing w:before="50"/>
      </w:pPr>
    </w:p>
    <w:p>
      <w:pPr>
        <w:spacing w:after="160" w:line="300"/>
      </w:pPr>
      <w:r>
        <w:rPr>
          <w:rFonts w:ascii="Calibri" w:cs="Calibri" w:eastAsia="Calibri" w:hAnsi="Calibri"/>
          <w:b/>
          <w:bCs/>
          <w:color w:val="1A1A2E"/>
          <w:sz w:val="22"/>
          <w:szCs w:val="22"/>
        </w:rPr>
        <w:t xml:space="preserve">Tier 1 — Special (Wild + Scatter): </w:t>
      </w:r>
      <w:r>
        <w:rPr>
          <w:rFonts w:ascii="Calibri" w:cs="Calibri" w:eastAsia="Calibri" w:hAnsi="Calibri"/>
          <w:color w:val="1A1A2E"/>
          <w:sz w:val="22"/>
          <w:szCs w:val="22"/>
        </w:rPr>
        <w:t xml:space="preserve">Maximum visual impact. Unique shapes, strongest glow, most colour, most detail. These should jump off the screen. A player should spot a Wild instantly even in their peripheral vision.</w:t>
      </w:r>
    </w:p>
    <w:p>
      <w:pPr>
        <w:spacing w:after="160" w:line="300"/>
      </w:pPr>
      <w:r>
        <w:rPr>
          <w:rFonts w:ascii="Calibri" w:cs="Calibri" w:eastAsia="Calibri" w:hAnsi="Calibri"/>
          <w:b/>
          <w:bCs/>
          <w:color w:val="1A1A2E"/>
          <w:sz w:val="22"/>
          <w:szCs w:val="22"/>
        </w:rPr>
        <w:t xml:space="preserve">Tier 2 — High Pay (Diamond, Ruby, Emerald): </w:t>
      </w:r>
      <w:r>
        <w:rPr>
          <w:rFonts w:ascii="Calibri" w:cs="Calibri" w:eastAsia="Calibri" w:hAnsi="Calibri"/>
          <w:color w:val="1A1A2E"/>
          <w:sz w:val="22"/>
          <w:szCs w:val="22"/>
        </w:rPr>
        <w:t xml:space="preserve">Premium gemstone feel. Rich colours, noticeable glow, detailed facets or light refraction. Should feel valuable but not quite as loud as the specials.</w:t>
      </w:r>
    </w:p>
    <w:p>
      <w:pPr>
        <w:spacing w:after="160" w:line="300"/>
      </w:pPr>
      <w:r>
        <w:rPr>
          <w:rFonts w:ascii="Calibri" w:cs="Calibri" w:eastAsia="Calibri" w:hAnsi="Calibri"/>
          <w:b/>
          <w:bCs/>
          <w:color w:val="1A1A2E"/>
          <w:sz w:val="22"/>
          <w:szCs w:val="22"/>
        </w:rPr>
        <w:t xml:space="preserve">Tier 3 — Low Pay (A, K, Q, J): </w:t>
      </w:r>
      <w:r>
        <w:rPr>
          <w:rFonts w:ascii="Calibri" w:cs="Calibri" w:eastAsia="Calibri" w:hAnsi="Calibri"/>
          <w:color w:val="1A1A2E"/>
          <w:sz w:val="22"/>
          <w:szCs w:val="22"/>
        </w:rPr>
        <w:t xml:space="preserve">Clean, minimal card-style letters. Muted blue-grey tones. Still styled with a subtle neon edge/outline to fit the theme, but clearly less prominent. These are supporting characters, not the stars.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4. INDIVIDUAL SYMBOL BRIEFS</w:t>
            </w:r>
          </w:p>
        </w:tc>
      </w:tr>
    </w:tbl>
    <w:p>
      <w:pPr>
        <w:spacing w:before="100"/>
      </w:pPr>
    </w:p>
    <w:p>
      <w:pPr>
        <w:pStyle w:val="Heading3"/>
        <w:spacing w:before="300" w:after="120"/>
      </w:pPr>
      <w:r>
        <w:t xml:space="preserve">W — Wild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Tier</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SPECIAL — Highest value symbol</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Colours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Cyan (#00F0FF) + Magenta (#FF00AA) gradient/dual glow</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A glowing cyberpunk emblem or sigil. Could be a neon diamond/star shape, a holographic "W" with circuit traces, or an abstract geometric form that feels like a master key. Must include the word "WILD" integrated into the design.</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Mood</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Power, access, override. This symbol unlocks everything.</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Max Pay</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5× = 1000× bet (the jackpot symbol)</w:t>
            </w:r>
          </w:p>
        </w:tc>
      </w:tr>
    </w:tbl>
    <w:p>
      <w:pPr>
        <w:spacing w:before="200"/>
      </w:pPr>
    </w:p>
    <w:p>
      <w:pPr>
        <w:pStyle w:val="Heading3"/>
        <w:spacing w:before="300" w:after="120"/>
      </w:pPr>
      <w:r>
        <w:t xml:space="preserve">S — Scatter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Tier</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SPECIAL — Triggers bonus round</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Colours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Yellow (#FFE600) + Green (#00FF88)</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A vault door, encrypted data node, or security breach icon. Hexagonal shape works well. Must feel like it represents "accessing the vault". Include the word "SCATTER" or "BONUS" in the design.</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Mood</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Excitement, opportunity, breach. Players should feel a rush when they see this land.</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Triggers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3+ anywhere on reels = Hack the Vault bonus round</w:t>
            </w:r>
          </w:p>
        </w:tc>
      </w:tr>
    </w:tbl>
    <w:p>
      <w:pPr>
        <w:spacing w:before="200"/>
      </w:pPr>
    </w:p>
    <w:p>
      <w:pPr>
        <w:pStyle w:val="Heading3"/>
        <w:spacing w:before="300" w:after="120"/>
      </w:pPr>
      <w:r>
        <w:t xml:space="preserve">H1 — Diamond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Tier</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HIGH PAY — Top-paying regular symbol</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Colours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Cyan (#00BFFF to #00F0FF)</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A brilliant cut diamond with neon blue light refracting through its facets. Geometric, angular, futuristic. Could have holographic data streams flowing through it.</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Max Pay</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5× = 500× bet</w:t>
            </w:r>
          </w:p>
        </w:tc>
      </w:tr>
    </w:tbl>
    <w:p>
      <w:pPr>
        <w:spacing w:before="200"/>
      </w:pPr>
    </w:p>
    <w:p>
      <w:pPr>
        <w:pStyle w:val="Heading3"/>
        <w:spacing w:before="300" w:after="120"/>
      </w:pPr>
      <w:r>
        <w:t xml:space="preserve">H2 — Ruby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Tier</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HIGH PAY</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Colours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Magenta/Red (#FF2255 to #FF00AA)</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An oval or cushion-cut ruby radiating hot pink/red neon energy. Should feel warm and intense compared to the cool diamond. Could have subtle ember-like particles around it.</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Max Pay</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5× = 250× bet</w:t>
            </w:r>
          </w:p>
        </w:tc>
      </w:tr>
    </w:tbl>
    <w:p>
      <w:pPr>
        <w:spacing w:before="200"/>
      </w:pPr>
    </w:p>
    <w:p>
      <w:pPr>
        <w:pStyle w:val="Heading3"/>
        <w:spacing w:before="300" w:after="120"/>
      </w:pPr>
      <w:r>
        <w:t xml:space="preserve">H3 — Emerald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Tier</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HIGH PAY</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Colours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Green (#00FF88 to #00CC66)</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An emerald-cut or triangular green gem with matrix/data-stream green glow. Could incorporate a subtle circuit board pattern within the gem facets.</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Max Pay</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5× = 150× bet</w:t>
            </w:r>
          </w:p>
        </w:tc>
      </w:tr>
    </w:tbl>
    <w:p>
      <w:pPr>
        <w:spacing w:before="200"/>
      </w:pPr>
    </w:p>
    <w:p>
      <w:pPr>
        <w:pStyle w:val="Heading3"/>
        <w:spacing w:before="300" w:after="120"/>
      </w:pPr>
      <w:r>
        <w:t xml:space="preserve">L1–L4 — Card Symbols (Ace, King, Queen, Jack)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Tier</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LOW PAY — All four designed as a matching family</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Colours</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Muted blue-grey tones (#667799, #7788BB, #8877AA, #8888CC). Subtle neon edge.</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Stylised letters A, K, Q, J in a monospaced or tech font. Clean geometric letterforms with a thin neon outline or edge glow. Think HUD display typography. They should all clearly belong to the same family but each have a slightly different tone (Ace brightest, Jack most muted).</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Style</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Minimal detail. No complex illustrations — just the letter with cyberpunk styling. These are background players. The visual weight should be roughly 30% of what a Wild or Diamond has.</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Hierarchy</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Ace (brightest/most prominent) &gt; King &gt; Queen &gt; Jack (most subdued)</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5. BACKGROUND &amp; LOGO</w:t>
            </w:r>
          </w:p>
        </w:tc>
      </w:tr>
    </w:tbl>
    <w:p>
      <w:pPr>
        <w:spacing w:before="100"/>
      </w:pPr>
    </w:p>
    <w:p>
      <w:pPr>
        <w:pStyle w:val="Heading3"/>
        <w:spacing w:before="300" w:after="120"/>
      </w:pPr>
      <w:r>
        <w:t xml:space="preserve">Background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Size</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1800 × 1000 pixels (renders at 900 × 500)</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Format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 or high-quality JPG</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Concept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Dark cyberpunk environment. Options: a neon-lit vault interior, distant city skyline with holographic billboards, circuit board landscape, or abstract geometric dark space. Must be very dark overall (average brightness should be close to #06060F) so the bright symbols remain the focal point.</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Critical</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The centre 70% of the image will be obscured by the reel grid. Place interesting details around the edges and corners. Do NOT make the centre visually busy.</w:t>
            </w:r>
          </w:p>
        </w:tc>
      </w:tr>
    </w:tbl>
    <w:p>
      <w:pPr>
        <w:spacing w:before="200"/>
      </w:pPr>
    </w:p>
    <w:p>
      <w:pPr>
        <w:pStyle w:val="Heading3"/>
        <w:spacing w:before="300" w:after="120"/>
      </w:pPr>
      <w:r>
        <w:t xml:space="preserve">Game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Size</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800 × 120 pixels</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Format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 with transparent background</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Text</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"NEON VAULT"</w:t>
            </w:r>
          </w:p>
        </w:tc>
      </w:tr>
      <w:tr>
        <w:tc>
          <w:tcPr>
            <w:tcW w:type="dxa" w:w="22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Style</w:t>
            </w:r>
          </w:p>
        </w:tc>
        <w:tc>
          <w:tcPr>
            <w:tcW w:type="dxa" w:w="71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Bold, wide, techy typeface. Neon glow treatment — cyan to magenta gradient with bloom. Should feel like a neon sign. Readable at 400×60px.</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6. DELIVERABLES SUMMARY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1400"/>
        <w:gridCol w:w="1600"/>
        <w:gridCol w:w="1760"/>
      </w:tblGrid>
      <w:tr>
        <w:tc>
          <w:tcPr>
            <w:tcW w:type="dxa" w:w="6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t>
            </w:r>
          </w:p>
        </w:tc>
        <w:tc>
          <w:tcPr>
            <w:tcW w:type="dxa" w:w="24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ASSET</w:t>
            </w:r>
          </w:p>
        </w:tc>
        <w:tc>
          <w:tcPr>
            <w:tcW w:type="dxa" w:w="16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FILE NAME</w:t>
            </w:r>
          </w:p>
        </w:tc>
        <w:tc>
          <w:tcPr>
            <w:tcW w:type="dxa" w:w="14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SIZE (PX)</w:t>
            </w:r>
          </w:p>
        </w:tc>
        <w:tc>
          <w:tcPr>
            <w:tcW w:type="dxa" w:w="160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FORMAT</w:t>
            </w:r>
          </w:p>
        </w:tc>
        <w:tc>
          <w:tcPr>
            <w:tcW w:type="dxa" w:w="1760"/>
            <w:tcBorders>
              <w:top w:val="single" w:color="DDDDEE" w:sz="1"/>
              <w:left w:val="single" w:color="DDDDEE" w:sz="1"/>
              <w:bottom w:val="single" w:color="DDDDEE" w:sz="1"/>
              <w:right w:val="single" w:color="DDDDEE" w:sz="1"/>
            </w:tcBorders>
            <w:shd w:fill="0D0D2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PRIORITY</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1</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Wild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wild.png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Scatter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scatter.png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3</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Diamond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diamond.png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4</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Ruby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ruby.png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5</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Emerald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emerald.png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6</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Ace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ace.png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7</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King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king.png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8</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Queen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queen.png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9</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Jack Symbol</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jack.png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256×256</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CC0000"/>
                <w:sz w:val="20"/>
                <w:szCs w:val="20"/>
              </w:rPr>
              <w:t xml:space="preserve">Must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10</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Background</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bg.png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1800×1000</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PNG/JPG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AA8800"/>
                <w:sz w:val="20"/>
                <w:szCs w:val="20"/>
              </w:rPr>
              <w:t xml:space="preserve">Nice to have</w:t>
            </w:r>
          </w:p>
        </w:tc>
      </w:tr>
      <w:tr>
        <w:tc>
          <w:tcPr>
            <w:tcW w:type="dxa" w:w="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11</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Game Logo</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0088AA"/>
                <w:sz w:val="20"/>
                <w:szCs w:val="20"/>
              </w:rPr>
              <w:t xml:space="preserve">logo.png</w:t>
            </w:r>
          </w:p>
        </w:tc>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800×120</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1A1A2E"/>
                <w:sz w:val="20"/>
                <w:szCs w:val="20"/>
              </w:rPr>
              <w:t xml:space="preserve">PNG</w:t>
            </w:r>
          </w:p>
        </w:tc>
        <w:tc>
          <w:tcPr>
            <w:tcW w:type="dxa" w:w="1760"/>
            <w:tcBorders>
              <w:top w:val="single" w:color="DDDDEE" w:sz="1"/>
              <w:left w:val="single" w:color="DDDDEE" w:sz="1"/>
              <w:bottom w:val="single" w:color="DDDDEE" w:sz="1"/>
              <w:right w:val="single" w:color="DDDDEE" w:sz="1"/>
            </w:tcBorders>
            <w:tcMar>
              <w:top w:type="dxa" w:w="80"/>
              <w:left w:type="dxa" w:w="120"/>
              <w:bottom w:type="dxa" w:w="80"/>
              <w:right w:type="dxa" w:w="120"/>
            </w:tcMar>
            <w:vAlign w:val="center"/>
          </w:tcPr>
          <w:p>
            <w:pPr>
              <w:jc w:val="left"/>
            </w:pPr>
            <w:r>
              <w:rPr>
                <w:rFonts w:ascii="Calibri" w:cs="Calibri" w:eastAsia="Calibri" w:hAnsi="Calibri"/>
                <w:color w:val="AA8800"/>
                <w:sz w:val="20"/>
                <w:szCs w:val="20"/>
              </w:rPr>
              <w:t xml:space="preserve">Nice to have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7. DO'S AND DON'TS</w:t>
            </w:r>
          </w:p>
        </w:tc>
      </w:tr>
    </w:tbl>
    <w:p>
      <w:pPr>
        <w:spacing w:before="100"/>
      </w:pPr>
    </w:p>
    <w:p>
      <w:pPr>
        <w:pStyle w:val="Heading3"/>
        <w:spacing w:before="300" w:after="120"/>
      </w:pPr>
      <w:r>
        <w:t xml:space="preserve">Do</w:t>
      </w:r>
    </w:p>
    <w:p>
      <w:pPr>
        <w:spacing w:after="160" w:line="300"/>
      </w:pPr>
      <w:r>
        <w:rPr>
          <w:rFonts w:ascii="Calibri" w:cs="Calibri" w:eastAsia="Calibri" w:hAnsi="Calibri"/>
          <w:color w:val="1A1A2E"/>
          <w:sz w:val="22"/>
          <w:szCs w:val="22"/>
        </w:rPr>
        <w:t xml:space="preserve">Use neon glow/bloom effects — symbols should feel like they emit light</w:t>
      </w:r>
    </w:p>
    <w:p>
      <w:pPr>
        <w:spacing w:after="160" w:line="300"/>
      </w:pPr>
      <w:r>
        <w:rPr>
          <w:rFonts w:ascii="Calibri" w:cs="Calibri" w:eastAsia="Calibri" w:hAnsi="Calibri"/>
          <w:color w:val="1A1A2E"/>
          <w:sz w:val="22"/>
          <w:szCs w:val="22"/>
        </w:rPr>
        <w:t xml:space="preserve">Keep designs geometric and clean — sharp edges, not organic/soft</w:t>
      </w:r>
    </w:p>
    <w:p>
      <w:pPr>
        <w:spacing w:after="160" w:line="300"/>
      </w:pPr>
      <w:r>
        <w:rPr>
          <w:rFonts w:ascii="Calibri" w:cs="Calibri" w:eastAsia="Calibri" w:hAnsi="Calibri"/>
          <w:color w:val="1A1A2E"/>
          <w:sz w:val="22"/>
          <w:szCs w:val="22"/>
        </w:rPr>
        <w:t xml:space="preserve">Make the Wild instantly recognizable even at 50% zoom</w:t>
      </w:r>
    </w:p>
    <w:p>
      <w:pPr>
        <w:spacing w:after="160" w:line="300"/>
      </w:pPr>
      <w:r>
        <w:rPr>
          <w:rFonts w:ascii="Calibri" w:cs="Calibri" w:eastAsia="Calibri" w:hAnsi="Calibri"/>
          <w:color w:val="1A1A2E"/>
          <w:sz w:val="22"/>
          <w:szCs w:val="22"/>
        </w:rPr>
        <w:t xml:space="preserve">Ensure each symbol has a unique silhouette — they need to be distinguishable at speed during reel spins</w:t>
      </w:r>
    </w:p>
    <w:p>
      <w:pPr>
        <w:spacing w:after="160" w:line="300"/>
      </w:pPr>
      <w:r>
        <w:rPr>
          <w:rFonts w:ascii="Calibri" w:cs="Calibri" w:eastAsia="Calibri" w:hAnsi="Calibri"/>
          <w:color w:val="1A1A2E"/>
          <w:sz w:val="22"/>
          <w:szCs w:val="22"/>
        </w:rPr>
        <w:t xml:space="preserve">Test readability at 140×130px (the actual render size)</w:t>
      </w:r>
    </w:p>
    <w:p>
      <w:pPr>
        <w:spacing w:after="160" w:line="300"/>
      </w:pPr>
      <w:r>
        <w:rPr>
          <w:rFonts w:ascii="Calibri" w:cs="Calibri" w:eastAsia="Calibri" w:hAnsi="Calibri"/>
          <w:color w:val="1A1A2E"/>
          <w:sz w:val="22"/>
          <w:szCs w:val="22"/>
        </w:rPr>
        <w:t xml:space="preserve">Use consistent glow intensity within each tier</w:t>
      </w:r>
    </w:p>
    <w:p>
      <w:pPr>
        <w:spacing w:before="100"/>
      </w:pPr>
    </w:p>
    <w:p>
      <w:pPr>
        <w:pStyle w:val="Heading3"/>
        <w:spacing w:before="300" w:after="120"/>
      </w:pPr>
      <w:r>
        <w:t xml:space="preserve">Don’t</w:t>
      </w:r>
    </w:p>
    <w:p>
      <w:pPr>
        <w:spacing w:after="160" w:line="300"/>
      </w:pPr>
      <w:r>
        <w:rPr>
          <w:rFonts w:ascii="Calibri" w:cs="Calibri" w:eastAsia="Calibri" w:hAnsi="Calibri"/>
          <w:color w:val="1A1A2E"/>
          <w:sz w:val="22"/>
          <w:szCs w:val="22"/>
        </w:rPr>
        <w:t xml:space="preserve">Don’t use realistic/photographic styles — this is stylised neon, not realism</w:t>
      </w:r>
    </w:p>
    <w:p>
      <w:pPr>
        <w:spacing w:after="160" w:line="300"/>
      </w:pPr>
      <w:r>
        <w:rPr>
          <w:rFonts w:ascii="Calibri" w:cs="Calibri" w:eastAsia="Calibri" w:hAnsi="Calibri"/>
          <w:color w:val="1A1A2E"/>
          <w:sz w:val="22"/>
          <w:szCs w:val="22"/>
        </w:rPr>
        <w:t xml:space="preserve">Don’t make low-pay symbols compete visually with high-pay ones</w:t>
      </w:r>
    </w:p>
    <w:p>
      <w:pPr>
        <w:spacing w:after="160" w:line="300"/>
      </w:pPr>
      <w:r>
        <w:rPr>
          <w:rFonts w:ascii="Calibri" w:cs="Calibri" w:eastAsia="Calibri" w:hAnsi="Calibri"/>
          <w:color w:val="1A1A2E"/>
          <w:sz w:val="22"/>
          <w:szCs w:val="22"/>
        </w:rPr>
        <w:t xml:space="preserve">Don’t use busy backgrounds within symbols — keep negative space</w:t>
      </w:r>
    </w:p>
    <w:p>
      <w:pPr>
        <w:spacing w:after="160" w:line="300"/>
      </w:pPr>
      <w:r>
        <w:rPr>
          <w:rFonts w:ascii="Calibri" w:cs="Calibri" w:eastAsia="Calibri" w:hAnsi="Calibri"/>
          <w:color w:val="1A1A2E"/>
          <w:sz w:val="22"/>
          <w:szCs w:val="22"/>
        </w:rPr>
        <w:t xml:space="preserve">Don’t add drop shadows — use neon glow instead</w:t>
      </w:r>
    </w:p>
    <w:p>
      <w:pPr>
        <w:spacing w:after="160" w:line="300"/>
      </w:pPr>
      <w:r>
        <w:rPr>
          <w:rFonts w:ascii="Calibri" w:cs="Calibri" w:eastAsia="Calibri" w:hAnsi="Calibri"/>
          <w:color w:val="1A1A2E"/>
          <w:sz w:val="22"/>
          <w:szCs w:val="22"/>
        </w:rPr>
        <w:t xml:space="preserve">Don’t extend key artwork beyond the 224×224px safe zone</w:t>
      </w:r>
    </w:p>
    <w:p>
      <w:pPr>
        <w:spacing w:after="160" w:line="300"/>
      </w:pPr>
      <w:r>
        <w:rPr>
          <w:rFonts w:ascii="Calibri" w:cs="Calibri" w:eastAsia="Calibri" w:hAnsi="Calibri"/>
          <w:color w:val="1A1A2E"/>
          <w:sz w:val="22"/>
          <w:szCs w:val="22"/>
        </w:rPr>
        <w:t xml:space="preserve">Don’t use white (#FFFFFF) backgrounds — transparent only</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0D4E0" w:sz="6"/>
              <w:right w:val="none" w:sz="0"/>
            </w:tcBorders>
            <w:tcMar>
              <w:top w:type="dxa" w:w="0"/>
              <w:left w:type="dxa" w:w="0"/>
              <w:bottom w:type="dxa" w:w="100"/>
              <w:right w:type="dxa" w:w="0"/>
            </w:tcMar>
          </w:tcPr>
          <w:p>
            <w:r>
              <w:rPr>
                <w:rFonts w:ascii="Calibri" w:cs="Calibri" w:eastAsia="Calibri" w:hAnsi="Calibri"/>
                <w:b/>
                <w:bCs/>
                <w:color w:val="00D4E0"/>
                <w:sz w:val="20"/>
                <w:szCs w:val="20"/>
              </w:rPr>
              <w:t xml:space="preserve">8. REFERENCE &amp; INSPIRATION</w:t>
            </w:r>
          </w:p>
        </w:tc>
      </w:tr>
    </w:tbl>
    <w:p>
      <w:pPr>
        <w:spacing w:before="100"/>
      </w:pPr>
    </w:p>
    <w:p>
      <w:pPr>
        <w:spacing w:after="160" w:line="300"/>
      </w:pPr>
      <w:r>
        <w:rPr>
          <w:rFonts w:ascii="Calibri" w:cs="Calibri" w:eastAsia="Calibri" w:hAnsi="Calibri"/>
          <w:color w:val="1A1A2E"/>
          <w:sz w:val="22"/>
          <w:szCs w:val="22"/>
        </w:rPr>
        <w:t xml:space="preserve">The overall feel should pull from these sources:</w:t>
      </w:r>
    </w:p>
    <w:p>
      <w:pPr>
        <w:spacing w:before="50"/>
      </w:pPr>
    </w:p>
    <w:p>
      <w:pPr>
        <w:spacing w:after="160" w:line="300"/>
      </w:pPr>
      <w:r>
        <w:rPr>
          <w:rFonts w:ascii="Calibri" w:cs="Calibri" w:eastAsia="Calibri" w:hAnsi="Calibri"/>
          <w:b/>
          <w:bCs/>
          <w:color w:val="1A1A2E"/>
          <w:sz w:val="22"/>
          <w:szCs w:val="22"/>
        </w:rPr>
        <w:t xml:space="preserve">Film/TV: </w:t>
      </w:r>
      <w:r>
        <w:rPr>
          <w:rFonts w:ascii="Calibri" w:cs="Calibri" w:eastAsia="Calibri" w:hAnsi="Calibri"/>
          <w:color w:val="1A1A2E"/>
          <w:sz w:val="22"/>
          <w:szCs w:val="22"/>
        </w:rPr>
        <w:t xml:space="preserve">Blade Runner 2049 (neon cityscapes, holographic UI), Tron Legacy (glowing grid lines, light cycles), Cyberpunk Edgerunners (neon signs, high contrast)</w:t>
      </w:r>
    </w:p>
    <w:p>
      <w:pPr>
        <w:spacing w:after="160" w:line="300"/>
      </w:pPr>
      <w:r>
        <w:rPr>
          <w:rFonts w:ascii="Calibri" w:cs="Calibri" w:eastAsia="Calibri" w:hAnsi="Calibri"/>
          <w:b/>
          <w:bCs/>
          <w:color w:val="1A1A2E"/>
          <w:sz w:val="22"/>
          <w:szCs w:val="22"/>
        </w:rPr>
        <w:t xml:space="preserve">Games: </w:t>
      </w:r>
      <w:r>
        <w:rPr>
          <w:rFonts w:ascii="Calibri" w:cs="Calibri" w:eastAsia="Calibri" w:hAnsi="Calibri"/>
          <w:color w:val="1A1A2E"/>
          <w:sz w:val="22"/>
          <w:szCs w:val="22"/>
        </w:rPr>
        <w:t xml:space="preserve">Cyberpunk 2077 UI elements, Hacknet (terminal aesthetic), VA-11 Hall-A (neon bar atmosphere)</w:t>
      </w:r>
    </w:p>
    <w:p>
      <w:pPr>
        <w:spacing w:after="160" w:line="300"/>
      </w:pPr>
      <w:r>
        <w:rPr>
          <w:rFonts w:ascii="Calibri" w:cs="Calibri" w:eastAsia="Calibri" w:hAnsi="Calibri"/>
          <w:b/>
          <w:bCs/>
          <w:color w:val="1A1A2E"/>
          <w:sz w:val="22"/>
          <w:szCs w:val="22"/>
        </w:rPr>
        <w:t xml:space="preserve">Slot references: </w:t>
      </w:r>
      <w:r>
        <w:rPr>
          <w:rFonts w:ascii="Calibri" w:cs="Calibri" w:eastAsia="Calibri" w:hAnsi="Calibri"/>
          <w:color w:val="1A1A2E"/>
          <w:sz w:val="22"/>
          <w:szCs w:val="22"/>
        </w:rPr>
        <w:t xml:space="preserve">Look at Hacksaw Gaming and Nolimit City slots for the level of symbol quality expected in modern online slots. Note how their premium symbols are substantially more detailed than their low-pay card symbols.</w:t>
      </w:r>
    </w:p>
    <w:p>
      <w:pPr>
        <w:spacing w:after="160" w:line="300"/>
      </w:pPr>
      <w:r>
        <w:rPr>
          <w:rFonts w:ascii="Calibri" w:cs="Calibri" w:eastAsia="Calibri" w:hAnsi="Calibri"/>
          <w:b/>
          <w:bCs/>
          <w:color w:val="1A1A2E"/>
          <w:sz w:val="22"/>
          <w:szCs w:val="22"/>
        </w:rPr>
        <w:t xml:space="preserve">Colour mood: </w:t>
      </w:r>
      <w:r>
        <w:rPr>
          <w:rFonts w:ascii="Calibri" w:cs="Calibri" w:eastAsia="Calibri" w:hAnsi="Calibri"/>
          <w:color w:val="1A1A2E"/>
          <w:sz w:val="22"/>
          <w:szCs w:val="22"/>
        </w:rPr>
        <w:t xml:space="preserve">Predominantly cyan and magenta on near-black. Occasional yellow for emphasis. The palette should feel cold and electric, not warm.</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2"/>
              <w:left w:val="none" w:sz="0"/>
              <w:bottom w:val="none" w:sz="0"/>
              <w:right w:val="none" w:sz="0"/>
            </w:tcBorders>
            <w:tcMar>
              <w:top w:type="dxa" w:w="200"/>
              <w:left w:type="dxa" w:w="0"/>
              <w:bottom w:type="dxa" w:w="0"/>
              <w:right w:type="dxa" w:w="0"/>
            </w:tcMar>
          </w:tcPr>
          <w:p>
            <w:pPr>
              <w:jc w:val="center"/>
            </w:pPr>
            <w:r>
              <w:rPr>
                <w:rFonts w:ascii="Calibri" w:cs="Calibri" w:eastAsia="Calibri" w:hAnsi="Calibri"/>
                <w:color w:val="666680"/>
                <w:sz w:val="18"/>
                <w:szCs w:val="18"/>
              </w:rPr>
              <w:t xml:space="preserve">Questions? Reply to this brief or message directly. Looking forward to seeing the concepts!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1A2E"/>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A1A2E"/>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2026-02-10T21:13:11.470Z</dcterms:created>
  <dcterms:modified xsi:type="dcterms:W3CDTF">2026-02-10T21:13:11.470Z</dcterms:modified>
</cp:coreProperties>
</file>

<file path=docProps/custom.xml><?xml version="1.0" encoding="utf-8"?>
<Properties xmlns="http://schemas.openxmlformats.org/officeDocument/2006/custom-properties" xmlns:vt="http://schemas.openxmlformats.org/officeDocument/2006/docPropsVTypes"/>
</file>