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NORTHERN IRELAND</w:t>
      </w:r>
    </w:p>
    <w:p>
      <w:pPr>
        <w:pStyle w:val="Text00cm"/>
        <w:jc w:val="both"/>
        <w:rPr>
          <w:rFonts w:asciiTheme="majorHAnsi" w:hAnsiTheme="majorHAnsi" w:cstheme="majorHAnsi"/>
          <w:lang w:val="en-US"/>
        </w:rPr>
      </w:pPr>
    </w:p>
    <w:p>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Section 139 of the Criminal Justice Act 1988 (as amended) and as applying to Northern Ireland applies to any article which has a blade or is sharply pointed except a folding pocketknife with a blade of less than 3 inches (7.62cm).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 folding pocketknife with a blade of less than 3 inches (7.62cm) is not considered to be a knife in local law. To be a folding pocketknife the blade ‘should be readily and immediately foldable at all times simply by the folding process’. If the blade can be locked in place or requires another mechanism to fold it, it will not be considered a folding pocketknife (Sharma v Director of Public Prosecutions [2018] EWHC 3330). </w:t>
      </w:r>
    </w:p>
    <w:p>
      <w:pPr>
        <w:pStyle w:val="Text00cm"/>
        <w:ind w:left="567"/>
        <w:jc w:val="both"/>
        <w:rPr>
          <w:rFonts w:asciiTheme="majorHAnsi" w:hAnsiTheme="majorHAnsi" w:cstheme="majorHAnsi"/>
          <w:lang w:val="en-US"/>
        </w:rPr>
      </w:pPr>
      <w:r>
        <w:rPr>
          <w:rFonts w:asciiTheme="majorHAnsi" w:hAnsiTheme="majorHAnsi" w:cstheme="majorHAnsi"/>
          <w:lang w:val="en-US"/>
        </w:rPr>
        <w:t>It is an offence to have any such article in a public place.</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It is an offence to have any article referred to at 1.1 in a public place.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It is a defence to any such charge to prove that the person had good reason or lawful authority for having the article with him in a public place.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also specific defences for knives carried: </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 xml:space="preserve">for use at work; </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 xml:space="preserve">for religious reasons; or </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 xml:space="preserve">as part of any national costume.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It is for the person carrying the knife to demonstrate that the defence applies to them. </w:t>
      </w:r>
    </w:p>
    <w:p>
      <w:pPr>
        <w:pStyle w:val="Text00cm"/>
        <w:ind w:left="567"/>
        <w:jc w:val="both"/>
        <w:rPr>
          <w:rFonts w:asciiTheme="majorHAnsi" w:hAnsiTheme="majorHAnsi" w:cstheme="majorHAnsi"/>
          <w:lang w:val="en-US"/>
        </w:rPr>
      </w:pPr>
      <w:r>
        <w:rPr>
          <w:rFonts w:asciiTheme="majorHAnsi" w:hAnsiTheme="majorHAnsi" w:cstheme="majorHAnsi"/>
          <w:lang w:val="en-US"/>
        </w:rPr>
        <w:t>No such defences exist for certain knifes. The Criminal Justice (Northern Ireland) Order 1996 in particular provides no such defence for possession of ‘flick knife’ or ‘gravity knife’. Possession of these items is entirely prohibited with limited exceptions for museums and other cultural purposes.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pPr>
        <w:pStyle w:val="Text00cm"/>
        <w:ind w:left="567"/>
        <w:jc w:val="both"/>
        <w:rPr>
          <w:rFonts w:asciiTheme="majorHAnsi" w:hAnsiTheme="majorHAnsi" w:cstheme="majorHAnsi"/>
          <w:lang w:val="en-US"/>
        </w:rPr>
      </w:pPr>
      <w:r>
        <w:rPr>
          <w:rFonts w:asciiTheme="majorHAnsi" w:hAnsiTheme="majorHAnsi" w:cstheme="majorHAnsi"/>
          <w:lang w:val="en-US"/>
        </w:rPr>
        <w:t>We can find no particular restrictions on transport when carrying is permitted.</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pPr>
        <w:pStyle w:val="Text00cm"/>
        <w:ind w:left="567"/>
        <w:jc w:val="both"/>
        <w:rPr>
          <w:rFonts w:asciiTheme="majorHAnsi" w:hAnsiTheme="majorHAnsi" w:cstheme="majorHAnsi"/>
          <w:lang w:val="en-US"/>
        </w:rPr>
      </w:pPr>
      <w:r>
        <w:rPr>
          <w:rFonts w:asciiTheme="majorHAnsi" w:hAnsiTheme="majorHAnsi" w:cstheme="majorHAnsi"/>
          <w:lang w:val="en-US"/>
        </w:rPr>
        <w:t>There are particular offences in relation to the carrying of restricted items on school premises.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Section 139A of the Criminal Justice Act 1988 (as amended) and as applying to Northern Ireland forbids the carrying of any article at 1.1 or any offensive weapon whatsoever on school premises. </w:t>
      </w:r>
    </w:p>
    <w:p>
      <w:pPr>
        <w:pStyle w:val="Text00cm"/>
        <w:ind w:left="567"/>
        <w:jc w:val="both"/>
        <w:rPr>
          <w:rFonts w:asciiTheme="majorHAnsi" w:hAnsiTheme="majorHAnsi" w:cstheme="majorHAnsi"/>
          <w:lang w:val="en-US"/>
        </w:rPr>
      </w:pPr>
      <w:r>
        <w:rPr>
          <w:rFonts w:asciiTheme="majorHAnsi" w:hAnsiTheme="majorHAnsi" w:cstheme="majorHAnsi"/>
          <w:lang w:val="en-US"/>
        </w:rPr>
        <w:t>The defences to this particular section are the same as at 1.2 with the added ground of possessing an article for educational purposes.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pPr>
        <w:pStyle w:val="Text00cm"/>
        <w:ind w:left="567"/>
        <w:jc w:val="both"/>
        <w:rPr>
          <w:rFonts w:asciiTheme="majorHAnsi" w:hAnsiTheme="majorHAnsi" w:cstheme="majorHAnsi"/>
          <w:lang w:val="en-US"/>
        </w:rPr>
      </w:pPr>
      <w:r>
        <w:rPr>
          <w:rFonts w:asciiTheme="majorHAnsi" w:hAnsiTheme="majorHAnsi" w:cstheme="majorHAnsi"/>
          <w:lang w:val="en-US"/>
        </w:rPr>
        <w:t>The blade length is defined as being ‘the cutting edge of its blade’.</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Section 141 of the Criminal Justice Act 1988 entirely prohibits the manufacture, sale or possession of certain dangerous objects including:</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flick knives - where the blade is hidden inside the handle and shoots out when a button is pressed - these are also called switchblades or automatic knives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butterfly knives - where the blade is hidden inside a handle that splits in two around it, like wings or the handles swing around the blade to open or close it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disguised knives - where the blade is hidden inside something, like a belt buckle or fake mobile phone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push daggers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gravity knives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`airport' or stealth knives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sword-sticks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samurai swords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knuckle-dusters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hand-claws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foot-claws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blowpipes or guns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kubotan (cylindrical container holding spikes)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shuriken (also known as death stars or throwing stars)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telescopic truncheons (automatically extending)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lastRenderedPageBreak/>
        <w:t xml:space="preserve">kusari-gama (sickle attached to a rope, cord or wire)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kyoketsu shoge (hook-knife attached to a rope, cord or wire)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kusari (weight attached to a rope, cord or wire)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straight, side handled or friction-lock truncheons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Section 93 of the Justice Act (Northern Ireland) 2011 creates an offence of possession of any offensive weapon with the intent of committing an indictable offence. </w:t>
      </w:r>
    </w:p>
    <w:p>
      <w:pPr>
        <w:pStyle w:val="Text00cm"/>
        <w:ind w:left="567"/>
        <w:jc w:val="both"/>
        <w:rPr>
          <w:rFonts w:asciiTheme="majorHAnsi" w:hAnsiTheme="majorHAnsi" w:cstheme="majorHAnsi"/>
          <w:lang w:val="en-US"/>
        </w:rPr>
      </w:pPr>
      <w:r>
        <w:rPr>
          <w:rFonts w:asciiTheme="majorHAnsi" w:hAnsiTheme="majorHAnsi" w:cstheme="majorHAnsi"/>
          <w:lang w:val="en-US"/>
        </w:rPr>
        <w:t>An offensive weapon in this context is defined as ‘any article made or adapted for use for causing injury to the person, or intended by the person in possession of it for such use’.</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As set out above there are particular defences for carrying of items which would otherwise be considered knives are set out above. </w:t>
      </w:r>
    </w:p>
    <w:p>
      <w:pPr>
        <w:pStyle w:val="Text00cm"/>
        <w:ind w:left="567"/>
        <w:jc w:val="both"/>
        <w:rPr>
          <w:rFonts w:asciiTheme="majorHAnsi" w:hAnsiTheme="majorHAnsi" w:cstheme="majorHAnsi"/>
          <w:lang w:val="en-US"/>
        </w:rPr>
      </w:pPr>
      <w:r>
        <w:rPr>
          <w:rFonts w:asciiTheme="majorHAnsi" w:hAnsiTheme="majorHAnsi" w:cstheme="majorHAnsi"/>
          <w:lang w:val="en-US"/>
        </w:rPr>
        <w:t>In respect of other offensive weapons there are other limited exceptions for possession by museums and galleries for historic or cultural purposes. Exceptions also apply to possession for use in theatres or in TV or film production.</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pPr>
        <w:pStyle w:val="Text00cm"/>
        <w:ind w:left="567"/>
        <w:jc w:val="both"/>
        <w:rPr>
          <w:rFonts w:asciiTheme="majorHAnsi" w:hAnsiTheme="majorHAnsi" w:cstheme="majorHAnsi"/>
          <w:lang w:val="en-US"/>
        </w:rPr>
      </w:pPr>
      <w:r>
        <w:rPr>
          <w:rFonts w:asciiTheme="majorHAnsi" w:hAnsiTheme="majorHAnsi" w:cstheme="majorHAnsi"/>
          <w:lang w:val="en-US"/>
        </w:rPr>
        <w:t>Possession of a knife contrary to the Criminal Justice Act 1988, possession of flick or gravity knife or any offensive weapon with intent are punishable on conviction on indictment, to imprisonment for a term not exceeding 4 years, or to a fine, or to both.</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We are not aware of any developments at present.</w:t>
      </w:r>
    </w:p>
    <w:p>
      <w:pPr>
        <w:pStyle w:val="Text00cm"/>
        <w:ind w:left="567" w:hanging="567"/>
        <w:jc w:val="both"/>
        <w:rPr>
          <w:rFonts w:asciiTheme="majorHAnsi" w:hAnsiTheme="majorHAnsi" w:cstheme="majorHAnsi"/>
          <w:lang w:val="en-US"/>
        </w:rPr>
      </w:pPr>
    </w:p>
    <w:p>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pPr>
        <w:pStyle w:val="Text00cm"/>
        <w:ind w:left="567"/>
        <w:jc w:val="both"/>
        <w:rPr>
          <w:rFonts w:asciiTheme="majorHAnsi" w:hAnsiTheme="majorHAnsi" w:cstheme="majorHAnsi"/>
          <w:lang w:val="en-US"/>
        </w:rPr>
      </w:pPr>
      <w:r>
        <w:rPr>
          <w:rFonts w:asciiTheme="majorHAnsi" w:hAnsiTheme="majorHAnsi" w:cstheme="majorHAnsi"/>
          <w:lang w:val="en-US"/>
        </w:rPr>
        <w:t>The Aviation Security (Amendment) (EU Exit) Regulations 2020, made pursuant to the European Union (Withdrawal) Act 2018 makes certain amendments to the EU regulation as it applies to the United Kingdom to include Northern Ireland.</w:t>
      </w:r>
    </w:p>
    <w:p>
      <w:pPr>
        <w:pStyle w:val="Text00cm"/>
        <w:jc w:val="both"/>
        <w:rPr>
          <w:rFonts w:asciiTheme="majorHAnsi" w:hAnsiTheme="majorHAnsi" w:cstheme="majorHAnsi"/>
          <w:lang w:val="en-US"/>
        </w:rPr>
      </w:pPr>
    </w:p>
    <w:p>
      <w:pPr>
        <w:pStyle w:val="Text00cm"/>
        <w:jc w:val="both"/>
        <w:rPr>
          <w:rFonts w:asciiTheme="majorHAnsi" w:hAnsiTheme="majorHAnsi" w:cstheme="majorHAnsi"/>
          <w:lang w:val="en-US"/>
        </w:rPr>
      </w:pPr>
    </w:p>
    <w:p>
      <w:pPr>
        <w:pStyle w:val="Text00cm"/>
        <w:jc w:val="both"/>
        <w:rPr>
          <w:rFonts w:asciiTheme="majorHAnsi" w:hAnsiTheme="majorHAnsi" w:cstheme="majorHAnsi"/>
          <w:lang w:val="en-US"/>
        </w:rPr>
      </w:pPr>
    </w:p>
    <w:p>
      <w:pPr>
        <w:pStyle w:val="Text00cm"/>
        <w:jc w:val="both"/>
        <w:rPr>
          <w:rFonts w:asciiTheme="majorHAnsi" w:hAnsiTheme="majorHAnsi" w:cstheme="majorHAnsi"/>
          <w:lang w:val="en-US"/>
        </w:rPr>
      </w:pP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lastRenderedPageBreak/>
        <w:t>If your country is outside the EU, what are the corresponding local regulations?</w:t>
      </w:r>
    </w:p>
    <w:p>
      <w:pPr>
        <w:pStyle w:val="Text00cm"/>
        <w:ind w:left="567"/>
        <w:jc w:val="both"/>
        <w:rPr>
          <w:rFonts w:asciiTheme="majorHAnsi" w:hAnsiTheme="majorHAnsi" w:cstheme="majorHAnsi"/>
          <w:lang w:val="en-US"/>
        </w:rPr>
      </w:pPr>
      <w:r>
        <w:rPr>
          <w:rFonts w:asciiTheme="majorHAnsi" w:hAnsiTheme="majorHAnsi" w:cstheme="majorHAnsi"/>
          <w:lang w:val="en-US"/>
        </w:rPr>
        <w:t>The EU regulations are retained in Northern Ireland law pursuant to the European Union (Withdrawal) Act 2018 subject to the amendments of the Aviation Security (Amendment etc.) (EU Exit) Regulations 2019 the Aviation Security (Amendment) (EU Exit) Regulations 2020.</w:t>
      </w: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pPr>
        <w:pStyle w:val="Text00cm"/>
        <w:ind w:left="567"/>
        <w:jc w:val="both"/>
        <w:rPr>
          <w:rFonts w:asciiTheme="majorHAnsi" w:hAnsiTheme="majorHAnsi" w:cstheme="majorHAnsi"/>
          <w:lang w:val="en-US"/>
        </w:rPr>
      </w:pPr>
      <w:r>
        <w:rPr>
          <w:rFonts w:asciiTheme="majorHAnsi" w:hAnsiTheme="majorHAnsi" w:cstheme="majorHAnsi"/>
          <w:lang w:val="en-US"/>
        </w:rPr>
        <w:t>Order 18 of the Airports (Northern Ireland) Order 1994 permits the operator of airports to issue byelaws for the purposes of ‘securing the safety of aircraft, vehicles and persons using the airport and preventing danger to the public arising from the use and operation of the airport’.</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pPr>
        <w:pStyle w:val="Text00cm"/>
        <w:ind w:left="567"/>
        <w:jc w:val="both"/>
        <w:rPr>
          <w:rFonts w:asciiTheme="majorHAnsi" w:hAnsiTheme="majorHAnsi" w:cstheme="majorHAnsi"/>
          <w:lang w:val="en-US"/>
        </w:rPr>
      </w:pPr>
      <w:r>
        <w:rPr>
          <w:rFonts w:asciiTheme="majorHAnsi" w:hAnsiTheme="majorHAnsi" w:cstheme="majorHAnsi"/>
          <w:lang w:val="en-US"/>
        </w:rPr>
        <w:t>Scissors with maximum blade length of 6cm may be carried on board. The point of measurement is from the fulcrum.</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The definition includes: </w:t>
      </w:r>
    </w:p>
    <w:p>
      <w:pPr>
        <w:pStyle w:val="Text00cm"/>
        <w:numPr>
          <w:ilvl w:val="0"/>
          <w:numId w:val="38"/>
        </w:numPr>
        <w:jc w:val="both"/>
        <w:rPr>
          <w:rFonts w:asciiTheme="majorHAnsi" w:hAnsiTheme="majorHAnsi" w:cstheme="majorHAnsi"/>
          <w:lang w:val="en-US"/>
        </w:rPr>
      </w:pPr>
      <w:r>
        <w:rPr>
          <w:rFonts w:asciiTheme="majorHAnsi" w:hAnsiTheme="majorHAnsi" w:cstheme="majorHAnsi"/>
          <w:lang w:val="en-US"/>
        </w:rPr>
        <w:t xml:space="preserve">objects with a sharp point or sharp edge </w:t>
      </w:r>
    </w:p>
    <w:p>
      <w:pPr>
        <w:pStyle w:val="Text00cm"/>
        <w:numPr>
          <w:ilvl w:val="1"/>
          <w:numId w:val="38"/>
        </w:numPr>
        <w:jc w:val="both"/>
        <w:rPr>
          <w:rFonts w:asciiTheme="majorHAnsi" w:hAnsiTheme="majorHAnsi" w:cstheme="majorHAnsi"/>
          <w:lang w:val="en-US"/>
        </w:rPr>
      </w:pPr>
      <w:r>
        <w:rPr>
          <w:rFonts w:asciiTheme="majorHAnsi" w:hAnsiTheme="majorHAnsi" w:cstheme="majorHAnsi"/>
          <w:lang w:val="en-US"/>
        </w:rPr>
        <w:t xml:space="preserve">objects with a sharp point or sharp edge capable of being used to cause serious injury, including: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items designed for chopping, such as axes, hatchets and cleavers,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ice axes and ice picks,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razor blades,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box cutters,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knives with blades of more than 6 cm,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scissors with blades of more than 6 cm as measured from the fulcrum,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martial arts equipment with a sharp point or sharp edge, </w:t>
      </w:r>
    </w:p>
    <w:p>
      <w:pPr>
        <w:pStyle w:val="Text00cm"/>
        <w:numPr>
          <w:ilvl w:val="0"/>
          <w:numId w:val="48"/>
        </w:numPr>
        <w:jc w:val="both"/>
        <w:rPr>
          <w:rFonts w:asciiTheme="majorHAnsi" w:hAnsiTheme="majorHAnsi" w:cstheme="majorHAnsi"/>
          <w:lang w:val="en-US"/>
        </w:rPr>
      </w:pPr>
      <w:r>
        <w:rPr>
          <w:rFonts w:asciiTheme="majorHAnsi" w:hAnsiTheme="majorHAnsi" w:cstheme="majorHAnsi"/>
          <w:lang w:val="en-US"/>
        </w:rPr>
        <w:t xml:space="preserve">swords and sabres. </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None that we are aware of.</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Are there any changes intended in the near future? If so what do they concern?</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All regulations with EU origin are subject to ongoing review in accordance with the terms of the European Union (Withdrawal) Act 2018 and are subject to change at short notice.</w:t>
      </w:r>
    </w:p>
    <w:p>
      <w:pPr>
        <w:pStyle w:val="Text00cm"/>
        <w:jc w:val="both"/>
        <w:rPr>
          <w:rFonts w:asciiTheme="majorHAnsi" w:hAnsiTheme="majorHAnsi" w:cstheme="majorHAnsi"/>
          <w:lang w:val="en-US"/>
        </w:rPr>
      </w:pPr>
      <w:bookmarkStart w:id="0" w:name="OpenAt"/>
      <w:bookmarkEnd w:id="0"/>
    </w:p>
    <w:p>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14 July 2021</w:t>
      </w:r>
    </w:p>
    <w:p>
      <w:pPr>
        <w:pStyle w:val="Text00cm"/>
        <w:ind w:left="567" w:hanging="567"/>
        <w:jc w:val="both"/>
        <w:rPr>
          <w:rFonts w:asciiTheme="majorHAnsi" w:hAnsiTheme="majorHAnsi" w:cstheme="majorHAnsi"/>
          <w:lang w:val="en-US"/>
        </w:rPr>
      </w:pPr>
    </w:p>
    <w:p>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477AB1"/>
    <w:multiLevelType w:val="hybridMultilevel"/>
    <w:tmpl w:val="F27F85C4"/>
    <w:lvl w:ilvl="0" w:tplc="FFFFFFFF">
      <w:start w:val="1"/>
      <w:numFmt w:val="bullet"/>
      <w:lvlText w:val="•"/>
      <w:lvlJc w:val="left"/>
    </w:lvl>
    <w:lvl w:ilvl="1" w:tplc="75B3A732">
      <w:start w:val="1"/>
      <w:numFmt w:val="bullet"/>
      <w:lvlText w:val="•"/>
      <w:lvlJc w:val="left"/>
    </w:lvl>
    <w:lvl w:ilvl="2" w:tplc="942E177E">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B3D1AE"/>
    <w:multiLevelType w:val="hybridMultilevel"/>
    <w:tmpl w:val="E5A2E537"/>
    <w:lvl w:ilvl="0" w:tplc="FFFFFFFF">
      <w:start w:val="1"/>
      <w:numFmt w:val="bullet"/>
      <w:lvlText w:val="•"/>
      <w:lvlJc w:val="left"/>
    </w:lvl>
    <w:lvl w:ilvl="1" w:tplc="C30B082B">
      <w:start w:val="1"/>
      <w:numFmt w:val="bullet"/>
      <w:lvlText w:val="•"/>
      <w:lvlJc w:val="left"/>
    </w:lvl>
    <w:lvl w:ilvl="2" w:tplc="D14235F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72F16BD"/>
    <w:multiLevelType w:val="hybridMultilevel"/>
    <w:tmpl w:val="EC57B09F"/>
    <w:lvl w:ilvl="0" w:tplc="FFFFFFFF">
      <w:start w:val="1"/>
      <w:numFmt w:val="bullet"/>
      <w:lvlText w:val="•"/>
      <w:lvlJc w:val="left"/>
    </w:lvl>
    <w:lvl w:ilvl="1" w:tplc="B2DDD758">
      <w:start w:val="1"/>
      <w:numFmt w:val="bullet"/>
      <w:lvlText w:val="•"/>
      <w:lvlJc w:val="left"/>
    </w:lvl>
    <w:lvl w:ilvl="2" w:tplc="9E20CE7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B1351B0"/>
    <w:multiLevelType w:val="hybridMultilevel"/>
    <w:tmpl w:val="1C487484"/>
    <w:lvl w:ilvl="0" w:tplc="B6CC5CE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259F2F00"/>
    <w:multiLevelType w:val="hybridMultilevel"/>
    <w:tmpl w:val="5993C3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820E4D"/>
    <w:multiLevelType w:val="hybridMultilevel"/>
    <w:tmpl w:val="66C2B92E"/>
    <w:lvl w:ilvl="0" w:tplc="F960683C">
      <w:start w:val="141"/>
      <w:numFmt w:val="bullet"/>
      <w:lvlText w:val="-"/>
      <w:lvlJc w:val="left"/>
      <w:pPr>
        <w:ind w:left="927" w:hanging="360"/>
      </w:pPr>
      <w:rPr>
        <w:rFonts w:ascii="Arial" w:eastAsiaTheme="minorEastAsia" w:hAnsi="Arial" w:cs="Arial" w:hint="default"/>
      </w:rPr>
    </w:lvl>
    <w:lvl w:ilvl="1" w:tplc="08070003">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0" w15:restartNumberingAfterBreak="0">
    <w:nsid w:val="50EA635D"/>
    <w:multiLevelType w:val="hybridMultilevel"/>
    <w:tmpl w:val="63BCA51C"/>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1" w15:restartNumberingAfterBreak="0">
    <w:nsid w:val="53084747"/>
    <w:multiLevelType w:val="hybridMultilevel"/>
    <w:tmpl w:val="8AD07D03"/>
    <w:lvl w:ilvl="0" w:tplc="FFFFFFFF">
      <w:start w:val="1"/>
      <w:numFmt w:val="bullet"/>
      <w:lvlText w:val="•"/>
      <w:lvlJc w:val="left"/>
    </w:lvl>
    <w:lvl w:ilvl="1" w:tplc="2A07C8CC">
      <w:start w:val="1"/>
      <w:numFmt w:val="bullet"/>
      <w:lvlText w:val="•"/>
      <w:lvlJc w:val="left"/>
    </w:lvl>
    <w:lvl w:ilvl="2" w:tplc="FD2AB1A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71D417C"/>
    <w:multiLevelType w:val="hybridMultilevel"/>
    <w:tmpl w:val="07164BF2"/>
    <w:lvl w:ilvl="0" w:tplc="08070001">
      <w:start w:val="1"/>
      <w:numFmt w:val="bullet"/>
      <w:lvlText w:val=""/>
      <w:lvlJc w:val="left"/>
      <w:pPr>
        <w:ind w:left="2007" w:hanging="360"/>
      </w:pPr>
      <w:rPr>
        <w:rFonts w:ascii="Symbol" w:hAnsi="Symbol" w:hint="default"/>
      </w:rPr>
    </w:lvl>
    <w:lvl w:ilvl="1" w:tplc="08070003" w:tentative="1">
      <w:start w:val="1"/>
      <w:numFmt w:val="bullet"/>
      <w:lvlText w:val="o"/>
      <w:lvlJc w:val="left"/>
      <w:pPr>
        <w:ind w:left="2727" w:hanging="360"/>
      </w:pPr>
      <w:rPr>
        <w:rFonts w:ascii="Courier New" w:hAnsi="Courier New" w:cs="Courier New" w:hint="default"/>
      </w:rPr>
    </w:lvl>
    <w:lvl w:ilvl="2" w:tplc="08070005" w:tentative="1">
      <w:start w:val="1"/>
      <w:numFmt w:val="bullet"/>
      <w:lvlText w:val=""/>
      <w:lvlJc w:val="left"/>
      <w:pPr>
        <w:ind w:left="3447" w:hanging="360"/>
      </w:pPr>
      <w:rPr>
        <w:rFonts w:ascii="Wingdings" w:hAnsi="Wingdings" w:hint="default"/>
      </w:rPr>
    </w:lvl>
    <w:lvl w:ilvl="3" w:tplc="08070001" w:tentative="1">
      <w:start w:val="1"/>
      <w:numFmt w:val="bullet"/>
      <w:lvlText w:val=""/>
      <w:lvlJc w:val="left"/>
      <w:pPr>
        <w:ind w:left="4167" w:hanging="360"/>
      </w:pPr>
      <w:rPr>
        <w:rFonts w:ascii="Symbol" w:hAnsi="Symbol" w:hint="default"/>
      </w:rPr>
    </w:lvl>
    <w:lvl w:ilvl="4" w:tplc="08070003" w:tentative="1">
      <w:start w:val="1"/>
      <w:numFmt w:val="bullet"/>
      <w:lvlText w:val="o"/>
      <w:lvlJc w:val="left"/>
      <w:pPr>
        <w:ind w:left="4887" w:hanging="360"/>
      </w:pPr>
      <w:rPr>
        <w:rFonts w:ascii="Courier New" w:hAnsi="Courier New" w:cs="Courier New" w:hint="default"/>
      </w:rPr>
    </w:lvl>
    <w:lvl w:ilvl="5" w:tplc="08070005" w:tentative="1">
      <w:start w:val="1"/>
      <w:numFmt w:val="bullet"/>
      <w:lvlText w:val=""/>
      <w:lvlJc w:val="left"/>
      <w:pPr>
        <w:ind w:left="5607" w:hanging="360"/>
      </w:pPr>
      <w:rPr>
        <w:rFonts w:ascii="Wingdings" w:hAnsi="Wingdings" w:hint="default"/>
      </w:rPr>
    </w:lvl>
    <w:lvl w:ilvl="6" w:tplc="08070001" w:tentative="1">
      <w:start w:val="1"/>
      <w:numFmt w:val="bullet"/>
      <w:lvlText w:val=""/>
      <w:lvlJc w:val="left"/>
      <w:pPr>
        <w:ind w:left="6327" w:hanging="360"/>
      </w:pPr>
      <w:rPr>
        <w:rFonts w:ascii="Symbol" w:hAnsi="Symbol" w:hint="default"/>
      </w:rPr>
    </w:lvl>
    <w:lvl w:ilvl="7" w:tplc="08070003" w:tentative="1">
      <w:start w:val="1"/>
      <w:numFmt w:val="bullet"/>
      <w:lvlText w:val="o"/>
      <w:lvlJc w:val="left"/>
      <w:pPr>
        <w:ind w:left="7047" w:hanging="360"/>
      </w:pPr>
      <w:rPr>
        <w:rFonts w:ascii="Courier New" w:hAnsi="Courier New" w:cs="Courier New" w:hint="default"/>
      </w:rPr>
    </w:lvl>
    <w:lvl w:ilvl="8" w:tplc="08070005" w:tentative="1">
      <w:start w:val="1"/>
      <w:numFmt w:val="bullet"/>
      <w:lvlText w:val=""/>
      <w:lvlJc w:val="left"/>
      <w:pPr>
        <w:ind w:left="7767" w:hanging="360"/>
      </w:pPr>
      <w:rPr>
        <w:rFonts w:ascii="Wingdings" w:hAnsi="Wingdings" w:hint="default"/>
      </w:rPr>
    </w:lvl>
  </w:abstractNum>
  <w:abstractNum w:abstractNumId="23" w15:restartNumberingAfterBreak="0">
    <w:nsid w:val="582469CA"/>
    <w:multiLevelType w:val="hybridMultilevel"/>
    <w:tmpl w:val="7F66165D"/>
    <w:lvl w:ilvl="0" w:tplc="FFFFFFFF">
      <w:start w:val="1"/>
      <w:numFmt w:val="bullet"/>
      <w:lvlText w:val="•"/>
      <w:lvlJc w:val="left"/>
    </w:lvl>
    <w:lvl w:ilvl="1" w:tplc="799D486C">
      <w:start w:val="1"/>
      <w:numFmt w:val="bullet"/>
      <w:lvlText w:val="•"/>
      <w:lvlJc w:val="left"/>
    </w:lvl>
    <w:lvl w:ilvl="2" w:tplc="A7C04EC1">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A85688C"/>
    <w:multiLevelType w:val="hybridMultilevel"/>
    <w:tmpl w:val="B28AD3C8"/>
    <w:lvl w:ilvl="0" w:tplc="B6CC5CE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5" w15:restartNumberingAfterBreak="0">
    <w:nsid w:val="5D925E3F"/>
    <w:multiLevelType w:val="hybridMultilevel"/>
    <w:tmpl w:val="00B8CAAE"/>
    <w:lvl w:ilvl="0" w:tplc="FFFFFFFF">
      <w:start w:val="1"/>
      <w:numFmt w:val="bullet"/>
      <w:lvlText w:val="•"/>
      <w:lvlJc w:val="left"/>
    </w:lvl>
    <w:lvl w:ilvl="1" w:tplc="6BCFB808">
      <w:start w:val="1"/>
      <w:numFmt w:val="bullet"/>
      <w:lvlText w:val="•"/>
      <w:lvlJc w:val="left"/>
    </w:lvl>
    <w:lvl w:ilvl="2" w:tplc="C84A1A7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4FAE43"/>
    <w:multiLevelType w:val="hybridMultilevel"/>
    <w:tmpl w:val="CF0F1E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890B769"/>
    <w:multiLevelType w:val="hybridMultilevel"/>
    <w:tmpl w:val="07FFE023"/>
    <w:lvl w:ilvl="0" w:tplc="FFFFFFFF">
      <w:start w:val="1"/>
      <w:numFmt w:val="bullet"/>
      <w:lvlText w:val="•"/>
      <w:lvlJc w:val="left"/>
    </w:lvl>
    <w:lvl w:ilvl="1" w:tplc="8A821B4A">
      <w:start w:val="1"/>
      <w:numFmt w:val="bullet"/>
      <w:lvlText w:val="•"/>
      <w:lvlJc w:val="left"/>
    </w:lvl>
    <w:lvl w:ilvl="2" w:tplc="A03601B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436A910"/>
    <w:multiLevelType w:val="hybridMultilevel"/>
    <w:tmpl w:val="A10EAC24"/>
    <w:lvl w:ilvl="0" w:tplc="FFFFFFFF">
      <w:start w:val="1"/>
      <w:numFmt w:val="bullet"/>
      <w:lvlText w:val="•"/>
      <w:lvlJc w:val="left"/>
    </w:lvl>
    <w:lvl w:ilvl="1" w:tplc="C1D6C7EF">
      <w:start w:val="1"/>
      <w:numFmt w:val="bullet"/>
      <w:lvlText w:val="•"/>
      <w:lvlJc w:val="left"/>
    </w:lvl>
    <w:lvl w:ilvl="2" w:tplc="5E43ADF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12"/>
  </w:num>
  <w:num w:numId="3">
    <w:abstractNumId w:val="12"/>
  </w:num>
  <w:num w:numId="4">
    <w:abstractNumId w:val="12"/>
  </w:num>
  <w:num w:numId="5">
    <w:abstractNumId w:val="12"/>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2"/>
  </w:num>
  <w:num w:numId="17">
    <w:abstractNumId w:val="12"/>
  </w:num>
  <w:num w:numId="18">
    <w:abstractNumId w:val="12"/>
  </w:num>
  <w:num w:numId="19">
    <w:abstractNumId w:val="12"/>
  </w:num>
  <w:num w:numId="20">
    <w:abstractNumId w:val="11"/>
  </w:num>
  <w:num w:numId="21">
    <w:abstractNumId w:val="12"/>
  </w:num>
  <w:num w:numId="22">
    <w:abstractNumId w:val="12"/>
  </w:num>
  <w:num w:numId="23">
    <w:abstractNumId w:val="11"/>
  </w:num>
  <w:num w:numId="24">
    <w:abstractNumId w:val="11"/>
  </w:num>
  <w:num w:numId="25">
    <w:abstractNumId w:val="11"/>
  </w:num>
  <w:num w:numId="26">
    <w:abstractNumId w:val="11"/>
  </w:num>
  <w:num w:numId="27">
    <w:abstractNumId w:val="11"/>
  </w:num>
  <w:num w:numId="28">
    <w:abstractNumId w:val="12"/>
  </w:num>
  <w:num w:numId="29">
    <w:abstractNumId w:val="12"/>
  </w:num>
  <w:num w:numId="30">
    <w:abstractNumId w:val="12"/>
  </w:num>
  <w:num w:numId="31">
    <w:abstractNumId w:val="15"/>
  </w:num>
  <w:num w:numId="32">
    <w:abstractNumId w:val="26"/>
  </w:num>
  <w:num w:numId="33">
    <w:abstractNumId w:val="18"/>
  </w:num>
  <w:num w:numId="34">
    <w:abstractNumId w:val="20"/>
  </w:num>
  <w:num w:numId="35">
    <w:abstractNumId w:val="24"/>
  </w:num>
  <w:num w:numId="36">
    <w:abstractNumId w:val="16"/>
  </w:num>
  <w:num w:numId="37">
    <w:abstractNumId w:val="27"/>
  </w:num>
  <w:num w:numId="38">
    <w:abstractNumId w:val="19"/>
  </w:num>
  <w:num w:numId="39">
    <w:abstractNumId w:val="17"/>
  </w:num>
  <w:num w:numId="40">
    <w:abstractNumId w:val="25"/>
  </w:num>
  <w:num w:numId="41">
    <w:abstractNumId w:val="14"/>
  </w:num>
  <w:num w:numId="42">
    <w:abstractNumId w:val="21"/>
  </w:num>
  <w:num w:numId="43">
    <w:abstractNumId w:val="0"/>
  </w:num>
  <w:num w:numId="44">
    <w:abstractNumId w:val="23"/>
  </w:num>
  <w:num w:numId="45">
    <w:abstractNumId w:val="13"/>
  </w:num>
  <w:num w:numId="46">
    <w:abstractNumId w:val="28"/>
  </w:num>
  <w:num w:numId="47">
    <w:abstractNumId w:val="29"/>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cs="Arial"/>
      <w:color w:val="000000"/>
      <w:sz w:val="24"/>
      <w:szCs w:val="24"/>
    </w:rPr>
  </w:style>
  <w:style w:type="paragraph" w:styleId="Listenabsatz">
    <w:name w:val="List Paragraph"/>
    <w:basedOn w:val="Standard"/>
    <w:uiPriority w:val="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VICTLEGAL01-1001592933-726</_dlc_DocId>
    <_dlc_DocIdUrl xmlns="aebe8cdc-4d27-4188-80bf-c5b93404cadb">
      <Url>https://victorinox.sharepoint.com/sites/legal01/2018-00183/_layouts/15/DocIdRedir.aspx?ID=VICTLEGAL01-1001592933-726</Url>
      <Description>VICTLEGAL01-1001592933-726</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FCEDEE3B-449C-4684-9ACA-9F7826D507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7E9FC0D-038E-48C6-8833-B19793BD550F}"/>
</file>

<file path=docProps/app.xml><?xml version="1.0" encoding="utf-8"?>
<Properties xmlns="http://schemas.openxmlformats.org/officeDocument/2006/extended-properties" xmlns:vt="http://schemas.openxmlformats.org/officeDocument/2006/docPropsVTypes">
  <Template>Normal</Template>
  <TotalTime>0</TotalTime>
  <Pages>5</Pages>
  <Words>1352</Words>
  <Characters>6615</Characters>
  <Application>Microsoft Office Word</Application>
  <DocSecurity>0</DocSecurity>
  <Lines>151</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16</cp:revision>
  <dcterms:created xsi:type="dcterms:W3CDTF">2019-10-02T16:35:00Z</dcterms:created>
  <dcterms:modified xsi:type="dcterms:W3CDTF">2022-06-07T13:36:00Z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6f055290-877e-42a0-b478-616089a905ca</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2022-05-16T11:52:00+00:00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Northern Ireland_Knife Legislation and Handling at Airports_Questionnaire_final_14.07.2021.docx</vt:lpwstr>
  </property>
  <property fmtid="{D5CDD505-2E9C-101B-9397-08002B2CF9AE}" pid="26" name="Conversation topic">
    <vt:lpwstr>Northern Ireland_Knife Legislation and Handling at Airports_Questionnaire_final_14.07.2021.docx</vt:lpwstr>
  </property>
  <property fmtid="{D5CDD505-2E9C-101B-9397-08002B2CF9AE}" pid="27" name="Message delivery time">
    <vt:filetime>2022-05-16T11:53:08Z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2022-05-16T11:53:08Z</vt:filetime>
  </property>
  <property fmtid="{D5CDD505-2E9C-101B-9397-08002B2CF9AE}" pid="41" name="Creation time">
    <vt:filetime>2022-05-16T11:53:08Z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114176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