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0A409" w14:textId="77777777" w:rsidR="008F6360" w:rsidRDefault="00C659BF">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0C658260" wp14:editId="2D474723">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2521C11E" w14:textId="77777777" w:rsidR="008F6360" w:rsidRDefault="008F6360">
      <w:pPr>
        <w:pStyle w:val="Text"/>
        <w:spacing w:after="0" w:line="0" w:lineRule="atLeast"/>
        <w:jc w:val="center"/>
        <w:rPr>
          <w:rFonts w:asciiTheme="majorHAnsi" w:hAnsiTheme="majorHAnsi" w:cstheme="majorHAnsi"/>
          <w:b/>
          <w:bCs/>
          <w:color w:val="B10034"/>
          <w:sz w:val="28"/>
          <w:szCs w:val="28"/>
        </w:rPr>
      </w:pPr>
    </w:p>
    <w:p w14:paraId="1AFA5931" w14:textId="77777777" w:rsidR="008F6360" w:rsidRDefault="00C659BF">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113C769C" w14:textId="77777777" w:rsidR="008F6360" w:rsidRDefault="008F6360">
      <w:pPr>
        <w:pStyle w:val="Text"/>
        <w:spacing w:after="0" w:line="0" w:lineRule="atLeast"/>
        <w:jc w:val="center"/>
        <w:rPr>
          <w:rFonts w:asciiTheme="majorHAnsi" w:hAnsiTheme="majorHAnsi" w:cstheme="majorHAnsi"/>
          <w:b/>
          <w:bCs/>
          <w:color w:val="B10034"/>
          <w:sz w:val="28"/>
          <w:szCs w:val="28"/>
        </w:rPr>
      </w:pPr>
    </w:p>
    <w:p w14:paraId="579EEEED" w14:textId="77777777" w:rsidR="008F6360" w:rsidRDefault="00C659BF">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ITALY</w:t>
      </w:r>
    </w:p>
    <w:p w14:paraId="0740D30B" w14:textId="77777777" w:rsidR="008F6360" w:rsidRDefault="008F6360">
      <w:pPr>
        <w:pStyle w:val="Text00cm"/>
        <w:jc w:val="both"/>
        <w:rPr>
          <w:rFonts w:asciiTheme="majorHAnsi" w:hAnsiTheme="majorHAnsi" w:cstheme="majorHAnsi"/>
          <w:lang w:val="en-US"/>
        </w:rPr>
      </w:pPr>
    </w:p>
    <w:p w14:paraId="5CECF169" w14:textId="77777777" w:rsidR="008F6360" w:rsidRDefault="00C659BF">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08F62DA1"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67411CDA" w14:textId="77777777" w:rsidR="008F6360" w:rsidRDefault="00C659BF">
      <w:pPr>
        <w:pStyle w:val="Text00cm"/>
        <w:ind w:left="567" w:hanging="567"/>
        <w:jc w:val="both"/>
        <w:rPr>
          <w:rFonts w:asciiTheme="majorHAnsi" w:hAnsiTheme="majorHAnsi" w:cstheme="majorHAnsi"/>
          <w:lang w:val="en-US"/>
        </w:rPr>
      </w:pPr>
      <w:r>
        <w:rPr>
          <w:rFonts w:asciiTheme="majorHAnsi" w:hAnsiTheme="majorHAnsi" w:cstheme="majorHAnsi"/>
          <w:i/>
          <w:iCs/>
          <w:lang w:val="en-US"/>
        </w:rPr>
        <w:tab/>
      </w:r>
      <w:r>
        <w:rPr>
          <w:rFonts w:asciiTheme="majorHAnsi" w:hAnsiTheme="majorHAnsi" w:cstheme="majorHAnsi"/>
          <w:lang w:val="en-US"/>
        </w:rPr>
        <w:t>According to the Penal Code (</w:t>
      </w:r>
      <w:proofErr w:type="spellStart"/>
      <w:r>
        <w:rPr>
          <w:rFonts w:asciiTheme="majorHAnsi" w:hAnsiTheme="majorHAnsi" w:cstheme="majorHAnsi"/>
          <w:lang w:val="en-US"/>
        </w:rPr>
        <w:t>Codice</w:t>
      </w:r>
      <w:proofErr w:type="spellEnd"/>
      <w:r>
        <w:rPr>
          <w:rFonts w:asciiTheme="majorHAnsi" w:hAnsiTheme="majorHAnsi" w:cstheme="majorHAnsi"/>
          <w:lang w:val="en-US"/>
        </w:rPr>
        <w:t xml:space="preserve"> Penale), the Consolidated Law on Public Security (TULPS Testo Unico </w:t>
      </w:r>
      <w:proofErr w:type="spellStart"/>
      <w:r>
        <w:rPr>
          <w:rFonts w:asciiTheme="majorHAnsi" w:hAnsiTheme="majorHAnsi" w:cstheme="majorHAnsi"/>
          <w:lang w:val="en-US"/>
        </w:rPr>
        <w:t>Leggi</w:t>
      </w:r>
      <w:proofErr w:type="spellEnd"/>
      <w:r>
        <w:rPr>
          <w:rFonts w:asciiTheme="majorHAnsi" w:hAnsiTheme="majorHAnsi" w:cstheme="majorHAnsi"/>
          <w:lang w:val="en-US"/>
        </w:rPr>
        <w:t xml:space="preserve"> Pubblica </w:t>
      </w:r>
      <w:proofErr w:type="spellStart"/>
      <w:r>
        <w:rPr>
          <w:rFonts w:asciiTheme="majorHAnsi" w:hAnsiTheme="majorHAnsi" w:cstheme="majorHAnsi"/>
          <w:lang w:val="en-US"/>
        </w:rPr>
        <w:t>Sicurezza</w:t>
      </w:r>
      <w:proofErr w:type="spellEnd"/>
      <w:r>
        <w:rPr>
          <w:rFonts w:asciiTheme="majorHAnsi" w:hAnsiTheme="majorHAnsi" w:cstheme="majorHAnsi"/>
          <w:lang w:val="en-US"/>
        </w:rPr>
        <w:t>) and Law no. 110 of April 18, 1975, there is a main distinction between two types of weapons: "proper weapons” (“</w:t>
      </w:r>
      <w:proofErr w:type="spellStart"/>
      <w:r>
        <w:rPr>
          <w:rFonts w:asciiTheme="majorHAnsi" w:hAnsiTheme="majorHAnsi" w:cstheme="majorHAnsi"/>
          <w:lang w:val="en-US"/>
        </w:rPr>
        <w:t>armi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comuni</w:t>
      </w:r>
      <w:proofErr w:type="spellEnd"/>
      <w:r>
        <w:rPr>
          <w:rFonts w:asciiTheme="majorHAnsi" w:hAnsiTheme="majorHAnsi" w:cstheme="majorHAnsi"/>
          <w:lang w:val="en-US"/>
        </w:rPr>
        <w:t>” o “</w:t>
      </w:r>
      <w:proofErr w:type="spellStart"/>
      <w:r>
        <w:rPr>
          <w:rFonts w:asciiTheme="majorHAnsi" w:hAnsiTheme="majorHAnsi" w:cstheme="majorHAnsi"/>
          <w:lang w:val="en-US"/>
        </w:rPr>
        <w:t>proprie</w:t>
      </w:r>
      <w:proofErr w:type="spellEnd"/>
      <w:r>
        <w:rPr>
          <w:rFonts w:asciiTheme="majorHAnsi" w:hAnsiTheme="majorHAnsi" w:cstheme="majorHAnsi"/>
          <w:lang w:val="en-US"/>
        </w:rPr>
        <w:t>”) and "improper weapons” (“</w:t>
      </w:r>
      <w:proofErr w:type="spellStart"/>
      <w:r>
        <w:rPr>
          <w:rFonts w:asciiTheme="majorHAnsi" w:hAnsiTheme="majorHAnsi" w:cstheme="majorHAnsi"/>
          <w:lang w:val="en-US"/>
        </w:rPr>
        <w:t>armi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improprie</w:t>
      </w:r>
      <w:proofErr w:type="spellEnd"/>
      <w:r>
        <w:rPr>
          <w:rFonts w:asciiTheme="majorHAnsi" w:hAnsiTheme="majorHAnsi" w:cstheme="majorHAnsi"/>
          <w:lang w:val="en-US"/>
        </w:rPr>
        <w:t xml:space="preserve">”). </w:t>
      </w:r>
    </w:p>
    <w:p w14:paraId="47FCCD35"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Proper Weapons are - in addition to firearms and explosives - those weapons which have been created for the purpose of harming someone. </w:t>
      </w:r>
    </w:p>
    <w:p w14:paraId="48594751"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Improper Weapons are those instruments which, depending </w:t>
      </w:r>
      <w:proofErr w:type="gramStart"/>
      <w:r>
        <w:rPr>
          <w:rFonts w:asciiTheme="majorHAnsi" w:hAnsiTheme="majorHAnsi" w:cstheme="majorHAnsi"/>
          <w:lang w:val="en-US"/>
        </w:rPr>
        <w:t>of</w:t>
      </w:r>
      <w:proofErr w:type="gramEnd"/>
      <w:r>
        <w:rPr>
          <w:rFonts w:asciiTheme="majorHAnsi" w:hAnsiTheme="majorHAnsi" w:cstheme="majorHAnsi"/>
          <w:lang w:val="en-US"/>
        </w:rPr>
        <w:t xml:space="preserve"> the circumstances of their use, could be used to harm someone (for instance: a kitchen knife, a baseball bat, etc.). The qualification of “Improper Weapons” is therefore based on the actual /potential use of the specific instrument in a specific situation. </w:t>
      </w:r>
    </w:p>
    <w:p w14:paraId="2411B8D5" w14:textId="60943536" w:rsidR="008F6360" w:rsidRDefault="00C659BF">
      <w:pPr>
        <w:pStyle w:val="Text00cm"/>
        <w:ind w:left="567"/>
        <w:jc w:val="both"/>
        <w:rPr>
          <w:rFonts w:asciiTheme="majorHAnsi" w:hAnsiTheme="majorHAnsi" w:cstheme="majorHAnsi"/>
          <w:lang w:val="en-US"/>
        </w:rPr>
      </w:pPr>
      <w:bookmarkStart w:id="0" w:name="_Hlk185484229"/>
      <w:r>
        <w:rPr>
          <w:rFonts w:asciiTheme="majorHAnsi" w:hAnsiTheme="majorHAnsi" w:cstheme="majorHAnsi"/>
          <w:lang w:val="en-US"/>
        </w:rPr>
        <w:t xml:space="preserve">As far as knives are concerned: </w:t>
      </w:r>
    </w:p>
    <w:p w14:paraId="56EC8504" w14:textId="77777777" w:rsidR="008F6360" w:rsidRDefault="00C659BF">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those having a sharp point, a double sharp blade and the possibility of blocking the blade (in the case of flick knives or switchblades) fall under the qualification of Proper Weapons according to certain principles and definitions provided by the Case Law and can therefore be considered technically and legally as “weapons</w:t>
      </w:r>
      <w:proofErr w:type="gramStart"/>
      <w:r>
        <w:rPr>
          <w:rFonts w:asciiTheme="majorHAnsi" w:hAnsiTheme="majorHAnsi" w:cstheme="majorHAnsi"/>
          <w:lang w:val="en-US"/>
        </w:rPr>
        <w:t>”;</w:t>
      </w:r>
      <w:proofErr w:type="gramEnd"/>
      <w:r>
        <w:rPr>
          <w:rFonts w:asciiTheme="majorHAnsi" w:hAnsiTheme="majorHAnsi" w:cstheme="majorHAnsi"/>
          <w:lang w:val="en-US"/>
        </w:rPr>
        <w:t xml:space="preserve"> </w:t>
      </w:r>
    </w:p>
    <w:p w14:paraId="4AB7C8CA" w14:textId="3C91B419" w:rsidR="008F6360" w:rsidRDefault="00C659BF">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all other knives</w:t>
      </w:r>
      <w:r w:rsidR="007036BE">
        <w:rPr>
          <w:rFonts w:asciiTheme="majorHAnsi" w:hAnsiTheme="majorHAnsi" w:cstheme="majorHAnsi"/>
          <w:lang w:val="en-US"/>
        </w:rPr>
        <w:t xml:space="preserve"> </w:t>
      </w:r>
      <w:r>
        <w:rPr>
          <w:rFonts w:asciiTheme="majorHAnsi" w:hAnsiTheme="majorHAnsi" w:cstheme="majorHAnsi"/>
          <w:lang w:val="en-US"/>
        </w:rPr>
        <w:t xml:space="preserve">which do not fall within the category </w:t>
      </w:r>
      <w:r w:rsidR="00A10125">
        <w:rPr>
          <w:rFonts w:asciiTheme="majorHAnsi" w:hAnsiTheme="majorHAnsi" w:cstheme="majorHAnsi"/>
          <w:lang w:val="en-US"/>
        </w:rPr>
        <w:t xml:space="preserve">of Proper Weapons </w:t>
      </w:r>
      <w:r>
        <w:rPr>
          <w:rFonts w:asciiTheme="majorHAnsi" w:hAnsiTheme="majorHAnsi" w:cstheme="majorHAnsi"/>
          <w:lang w:val="en-US"/>
        </w:rPr>
        <w:t xml:space="preserve">under </w:t>
      </w:r>
      <w:proofErr w:type="gramStart"/>
      <w:r>
        <w:rPr>
          <w:rFonts w:asciiTheme="majorHAnsi" w:hAnsiTheme="majorHAnsi" w:cstheme="majorHAnsi"/>
          <w:lang w:val="en-US"/>
        </w:rPr>
        <w:t>para a</w:t>
      </w:r>
      <w:proofErr w:type="gramEnd"/>
      <w:r>
        <w:rPr>
          <w:rFonts w:asciiTheme="majorHAnsi" w:hAnsiTheme="majorHAnsi" w:cstheme="majorHAnsi"/>
          <w:lang w:val="en-US"/>
        </w:rPr>
        <w:t xml:space="preserve">) above, </w:t>
      </w:r>
      <w:r w:rsidR="00D74AB1">
        <w:rPr>
          <w:rFonts w:asciiTheme="majorHAnsi" w:hAnsiTheme="majorHAnsi" w:cstheme="majorHAnsi"/>
          <w:lang w:val="en-US"/>
        </w:rPr>
        <w:t xml:space="preserve">and </w:t>
      </w:r>
      <w:r w:rsidR="001636F9">
        <w:rPr>
          <w:rFonts w:asciiTheme="majorHAnsi" w:hAnsiTheme="majorHAnsi" w:cstheme="majorHAnsi"/>
          <w:lang w:val="en-US"/>
        </w:rPr>
        <w:t>similarly</w:t>
      </w:r>
      <w:r w:rsidR="00D74AB1">
        <w:rPr>
          <w:rFonts w:asciiTheme="majorHAnsi" w:hAnsiTheme="majorHAnsi" w:cstheme="majorHAnsi"/>
          <w:lang w:val="en-US"/>
        </w:rPr>
        <w:t xml:space="preserve"> scissors, </w:t>
      </w:r>
      <w:r>
        <w:rPr>
          <w:rFonts w:asciiTheme="majorHAnsi" w:hAnsiTheme="majorHAnsi" w:cstheme="majorHAnsi"/>
          <w:lang w:val="en-US"/>
        </w:rPr>
        <w:t xml:space="preserve">may be considered as Improper Weapons depending on their manner of use. </w:t>
      </w:r>
    </w:p>
    <w:bookmarkEnd w:id="0"/>
    <w:p w14:paraId="079EBB2A" w14:textId="77777777" w:rsidR="008F6360" w:rsidRDefault="008F6360">
      <w:pPr>
        <w:pStyle w:val="Text00cm"/>
        <w:ind w:left="567" w:hanging="567"/>
        <w:jc w:val="both"/>
        <w:rPr>
          <w:rFonts w:asciiTheme="majorHAnsi" w:hAnsiTheme="majorHAnsi" w:cstheme="majorHAnsi"/>
          <w:lang w:val="en-US"/>
        </w:rPr>
      </w:pPr>
    </w:p>
    <w:p w14:paraId="6F7EDC33"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70D2753A"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Proper Weapons: the simple ownership and carrying is subject to a specific permit to be issued by the Police Authorities. Transportation is forbidden except as provided in the relevant permit. </w:t>
      </w:r>
    </w:p>
    <w:p w14:paraId="54E83711"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Improper weapons: carrying and/or transporting is evaluated from time to time according to a criteria of justified reason considering the specific use they are intended to (e.g. for fishing, mountain excursions, etc.).</w:t>
      </w:r>
    </w:p>
    <w:p w14:paraId="6B9570E6" w14:textId="5A83C0C5" w:rsidR="002C65AD" w:rsidRPr="002C65AD" w:rsidRDefault="002C65AD" w:rsidP="003F2CA3">
      <w:pPr>
        <w:pStyle w:val="Text00cm"/>
        <w:ind w:left="567"/>
        <w:jc w:val="both"/>
        <w:rPr>
          <w:rFonts w:asciiTheme="majorHAnsi" w:hAnsiTheme="majorHAnsi" w:cstheme="majorHAnsi"/>
          <w:lang w:val="en-US"/>
        </w:rPr>
      </w:pPr>
      <w:r w:rsidRPr="002C65AD">
        <w:rPr>
          <w:rFonts w:asciiTheme="majorHAnsi" w:hAnsiTheme="majorHAnsi" w:cstheme="majorHAnsi"/>
          <w:lang w:val="en-US"/>
        </w:rPr>
        <w:t xml:space="preserve">Justified reason is thus the criterion that can justify the possession of an instrument that qualifies as an improper weapon, outside one's home. A justifiable reason may be, for example, work, study or </w:t>
      </w:r>
      <w:proofErr w:type="spellStart"/>
      <w:r w:rsidRPr="002C65AD">
        <w:rPr>
          <w:rFonts w:asciiTheme="majorHAnsi" w:hAnsiTheme="majorHAnsi" w:cstheme="majorHAnsi"/>
          <w:lang w:val="en-US"/>
        </w:rPr>
        <w:t>sports</w:t>
      </w:r>
      <w:proofErr w:type="spellEnd"/>
      <w:r w:rsidRPr="002C65AD">
        <w:rPr>
          <w:rFonts w:asciiTheme="majorHAnsi" w:hAnsiTheme="majorHAnsi" w:cstheme="majorHAnsi"/>
          <w:lang w:val="en-US"/>
        </w:rPr>
        <w:t xml:space="preserve"> needs.</w:t>
      </w:r>
    </w:p>
    <w:p w14:paraId="5F190CB5" w14:textId="05251031" w:rsidR="002C65AD" w:rsidRPr="002C65AD" w:rsidRDefault="002C65AD" w:rsidP="003F2CA3">
      <w:pPr>
        <w:pStyle w:val="Text00cm"/>
        <w:ind w:left="567"/>
        <w:jc w:val="both"/>
        <w:rPr>
          <w:rFonts w:asciiTheme="majorHAnsi" w:hAnsiTheme="majorHAnsi" w:cstheme="majorHAnsi"/>
          <w:lang w:val="en-US"/>
        </w:rPr>
      </w:pPr>
      <w:r w:rsidRPr="002C65AD">
        <w:rPr>
          <w:rFonts w:asciiTheme="majorHAnsi" w:hAnsiTheme="majorHAnsi" w:cstheme="majorHAnsi"/>
          <w:lang w:val="en-US"/>
        </w:rPr>
        <w:t xml:space="preserve">According to Article 4 of Law No. 110 of April 18, 1975, in fact, “[...] Without a justified reason, one may not take outside one's home or the belongings thereof, sticks with a sharp point, pointing or cutting instruments capable of offending, clubs, pipes, chains, slingshots, bolts, metal balls, as well as any other </w:t>
      </w:r>
      <w:r w:rsidRPr="002C65AD">
        <w:rPr>
          <w:rFonts w:asciiTheme="majorHAnsi" w:hAnsiTheme="majorHAnsi" w:cstheme="majorHAnsi"/>
          <w:lang w:val="en-US"/>
        </w:rPr>
        <w:lastRenderedPageBreak/>
        <w:t>instrument not expressly considered as a pointing or cutting weapon, clearly usable, due to the circumstances of time and place, to harm a person [...].”</w:t>
      </w:r>
    </w:p>
    <w:p w14:paraId="5F095DFC" w14:textId="71DE8E5F" w:rsidR="008F6360" w:rsidRDefault="002C65AD" w:rsidP="00C06667">
      <w:pPr>
        <w:pStyle w:val="Text00cm"/>
        <w:ind w:left="567"/>
        <w:jc w:val="both"/>
        <w:rPr>
          <w:rFonts w:asciiTheme="majorHAnsi" w:hAnsiTheme="majorHAnsi" w:cstheme="majorHAnsi"/>
          <w:lang w:val="en-US"/>
        </w:rPr>
      </w:pPr>
      <w:proofErr w:type="gramStart"/>
      <w:r w:rsidRPr="002C65AD">
        <w:rPr>
          <w:rFonts w:asciiTheme="majorHAnsi" w:hAnsiTheme="majorHAnsi" w:cstheme="majorHAnsi"/>
          <w:lang w:val="en-US"/>
        </w:rPr>
        <w:t>On the subject of multi-</w:t>
      </w:r>
      <w:proofErr w:type="gramEnd"/>
      <w:r w:rsidRPr="002C65AD">
        <w:rPr>
          <w:rFonts w:asciiTheme="majorHAnsi" w:hAnsiTheme="majorHAnsi" w:cstheme="majorHAnsi"/>
          <w:lang w:val="en-US"/>
        </w:rPr>
        <w:t>purpose knives, for example, the Supreme Court of Cassation has specified that even “the small multi-purpose knife must be considered an instrument that can be taken out of one's home only with a justified reason” (Sent. no. 18338/2014).</w:t>
      </w:r>
    </w:p>
    <w:p w14:paraId="390E6213" w14:textId="77777777" w:rsidR="00D24B8E" w:rsidRDefault="00D24B8E" w:rsidP="00C06667">
      <w:pPr>
        <w:pStyle w:val="Text00cm"/>
        <w:ind w:left="567"/>
        <w:jc w:val="both"/>
        <w:rPr>
          <w:rFonts w:asciiTheme="majorHAnsi" w:hAnsiTheme="majorHAnsi" w:cstheme="majorHAnsi"/>
          <w:lang w:val="en-US"/>
        </w:rPr>
      </w:pPr>
    </w:p>
    <w:p w14:paraId="05676B69"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6B904CF8"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Proper Weapons: must be carried or transported ensuring proper and a safe custody and avoiding an easy access and use. </w:t>
      </w:r>
    </w:p>
    <w:p w14:paraId="19E5BE48"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Improper Weapons: no specific requirements safe for application of due care.</w:t>
      </w:r>
    </w:p>
    <w:p w14:paraId="4A478537" w14:textId="77777777" w:rsidR="00D24B8E" w:rsidRDefault="00D24B8E">
      <w:pPr>
        <w:pStyle w:val="Text00cm"/>
        <w:ind w:left="567"/>
        <w:jc w:val="both"/>
        <w:rPr>
          <w:rFonts w:asciiTheme="majorHAnsi" w:hAnsiTheme="majorHAnsi" w:cstheme="majorHAnsi"/>
          <w:lang w:val="en-US"/>
        </w:rPr>
      </w:pPr>
    </w:p>
    <w:p w14:paraId="1DC1911F"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 xml:space="preserve">Are there any public places which may be restricted by an authority (on certain days or at certain times) for carrying any knives or other dangerous tools (e.g. railway station, airport, </w:t>
      </w:r>
      <w:proofErr w:type="gramStart"/>
      <w:r>
        <w:rPr>
          <w:rFonts w:asciiTheme="majorHAnsi" w:hAnsiTheme="majorHAnsi" w:cstheme="majorHAnsi"/>
          <w:i/>
          <w:iCs/>
          <w:lang w:val="en-US"/>
        </w:rPr>
        <w:t>market places</w:t>
      </w:r>
      <w:proofErr w:type="gramEnd"/>
      <w:r>
        <w:rPr>
          <w:rFonts w:asciiTheme="majorHAnsi" w:hAnsiTheme="majorHAnsi" w:cstheme="majorHAnsi"/>
          <w:i/>
          <w:iCs/>
          <w:lang w:val="en-US"/>
        </w:rPr>
        <w:t>, football stadium, event halls etc.)?</w:t>
      </w:r>
    </w:p>
    <w:p w14:paraId="25E9183F" w14:textId="77777777" w:rsidR="008F6360" w:rsidRDefault="00C659BF">
      <w:pPr>
        <w:pStyle w:val="Text00cm"/>
        <w:ind w:left="567" w:hanging="567"/>
        <w:jc w:val="both"/>
        <w:rPr>
          <w:rFonts w:asciiTheme="majorHAnsi" w:hAnsiTheme="majorHAnsi" w:cstheme="majorHAnsi"/>
          <w:lang w:val="en-US"/>
        </w:rPr>
      </w:pPr>
      <w:r>
        <w:rPr>
          <w:rFonts w:asciiTheme="majorHAnsi" w:hAnsiTheme="majorHAnsi" w:cstheme="majorHAnsi"/>
          <w:lang w:val="en-US"/>
        </w:rPr>
        <w:tab/>
        <w:t>Yes, the law expressly prohibits the carrying of weapons of any kind (both proper and improper) at public gatherings. A “public gathering” is any event where two or more persons meet in a place open to the public.</w:t>
      </w:r>
    </w:p>
    <w:p w14:paraId="7A53F563" w14:textId="688FC82C" w:rsidR="007C7001" w:rsidRDefault="007C7001" w:rsidP="00FD1231">
      <w:pPr>
        <w:pStyle w:val="Text00cm"/>
        <w:ind w:left="567"/>
        <w:jc w:val="both"/>
        <w:rPr>
          <w:rFonts w:asciiTheme="majorHAnsi" w:hAnsiTheme="majorHAnsi" w:cstheme="majorHAnsi"/>
          <w:lang w:val="en-US"/>
        </w:rPr>
      </w:pPr>
      <w:r w:rsidRPr="007C7001">
        <w:rPr>
          <w:rFonts w:asciiTheme="majorHAnsi" w:hAnsiTheme="majorHAnsi" w:cstheme="majorHAnsi"/>
          <w:lang w:val="en-US"/>
        </w:rPr>
        <w:t>Moreover, in certain public places (such as schools, hospitals, archaeological sites, government buildings, and nature reserves), there may be an absolute ban on the introduction of knives or offensive objects in the internal regulations, regardless of the existence of a justified reason.</w:t>
      </w:r>
    </w:p>
    <w:p w14:paraId="01F9C244" w14:textId="77777777" w:rsidR="008F6360" w:rsidRDefault="008F6360">
      <w:pPr>
        <w:pStyle w:val="Text00cm"/>
        <w:ind w:left="567" w:hanging="567"/>
        <w:jc w:val="both"/>
        <w:rPr>
          <w:rFonts w:asciiTheme="majorHAnsi" w:hAnsiTheme="majorHAnsi" w:cstheme="majorHAnsi"/>
          <w:lang w:val="en-US"/>
        </w:rPr>
      </w:pPr>
    </w:p>
    <w:p w14:paraId="659E625F"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0830D526" w14:textId="77777777" w:rsidR="008F6360" w:rsidRDefault="00C659BF">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2280CE47" wp14:editId="427634FD">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546DB5DF" w14:textId="77777777" w:rsidR="008F6360" w:rsidRDefault="00C659BF">
      <w:pPr>
        <w:pStyle w:val="Text00cm"/>
        <w:ind w:left="567" w:hanging="567"/>
        <w:jc w:val="both"/>
        <w:rPr>
          <w:rFonts w:asciiTheme="majorHAnsi" w:hAnsiTheme="majorHAnsi" w:cstheme="majorHAnsi"/>
          <w:lang w:val="en-US"/>
        </w:rPr>
      </w:pPr>
      <w:r>
        <w:rPr>
          <w:rFonts w:asciiTheme="majorHAnsi" w:hAnsiTheme="majorHAnsi" w:cstheme="majorHAnsi"/>
          <w:lang w:val="en-US"/>
        </w:rPr>
        <w:tab/>
        <w:t>There is no specific national legislation in this regard.</w:t>
      </w:r>
    </w:p>
    <w:p w14:paraId="0FE70627" w14:textId="77777777" w:rsidR="008F6360" w:rsidRDefault="008F6360">
      <w:pPr>
        <w:pStyle w:val="Text00cm"/>
        <w:ind w:left="567" w:hanging="567"/>
        <w:jc w:val="both"/>
        <w:rPr>
          <w:rFonts w:asciiTheme="majorHAnsi" w:hAnsiTheme="majorHAnsi" w:cstheme="majorHAnsi"/>
          <w:lang w:val="en-US"/>
        </w:rPr>
      </w:pPr>
    </w:p>
    <w:p w14:paraId="2CE3CD5A"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3A49BE9A" w14:textId="77777777" w:rsidR="008F6360" w:rsidRDefault="00C659BF">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In theory any object which can be used </w:t>
      </w:r>
      <w:proofErr w:type="gramStart"/>
      <w:r>
        <w:rPr>
          <w:rFonts w:asciiTheme="majorHAnsi" w:hAnsiTheme="majorHAnsi" w:cstheme="majorHAnsi"/>
          <w:lang w:val="en-US"/>
        </w:rPr>
        <w:t>in order to</w:t>
      </w:r>
      <w:proofErr w:type="gramEnd"/>
      <w:r>
        <w:rPr>
          <w:rFonts w:asciiTheme="majorHAnsi" w:hAnsiTheme="majorHAnsi" w:cstheme="majorHAnsi"/>
          <w:lang w:val="en-US"/>
        </w:rPr>
        <w:t xml:space="preserve"> cause bodily harm to a person may fall within the definition of Improper Weapon. </w:t>
      </w:r>
    </w:p>
    <w:p w14:paraId="3A21E9AB"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Law of April 18, 1975 No. 110, Article 4, paragraph 2, provides a list of objects which may be considered as Improper Weapons such as: “sticks with sharp points, pointed or cutting instruments which are able of hurting, clubs, pipes, chains, slings, bolts, metal balls, as well as any other instrument not expressly considered as a pointed or cutting weapon, clearly usable, for the circumstances of time and place, to harm a person”.</w:t>
      </w:r>
    </w:p>
    <w:p w14:paraId="420E2927" w14:textId="77777777" w:rsidR="008F6360" w:rsidRDefault="008F6360">
      <w:pPr>
        <w:pStyle w:val="Text00cm"/>
        <w:ind w:left="567" w:hanging="567"/>
        <w:jc w:val="both"/>
        <w:rPr>
          <w:rFonts w:asciiTheme="majorHAnsi" w:hAnsiTheme="majorHAnsi" w:cstheme="majorHAnsi"/>
          <w:lang w:val="en-US"/>
        </w:rPr>
      </w:pPr>
    </w:p>
    <w:p w14:paraId="30E7CA50" w14:textId="77777777" w:rsidR="00ED6528" w:rsidRDefault="00ED6528">
      <w:pPr>
        <w:pStyle w:val="Text00cm"/>
        <w:ind w:left="567" w:hanging="567"/>
        <w:jc w:val="both"/>
        <w:rPr>
          <w:rFonts w:asciiTheme="majorHAnsi" w:hAnsiTheme="majorHAnsi" w:cstheme="majorHAnsi"/>
          <w:lang w:val="en-US"/>
        </w:rPr>
      </w:pPr>
      <w:bookmarkStart w:id="1" w:name="OpenAt"/>
      <w:bookmarkEnd w:id="1"/>
    </w:p>
    <w:p w14:paraId="344D8374"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1.7</w:t>
      </w:r>
      <w:r>
        <w:rPr>
          <w:rFonts w:asciiTheme="majorHAnsi" w:hAnsiTheme="majorHAnsi" w:cstheme="majorHAnsi"/>
          <w:i/>
          <w:iCs/>
          <w:lang w:val="en-US"/>
        </w:rPr>
        <w:tab/>
        <w:t>Are there any exceptions?</w:t>
      </w:r>
    </w:p>
    <w:p w14:paraId="1CB8BB28"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Improper Weapons </w:t>
      </w:r>
      <w:proofErr w:type="gramStart"/>
      <w:r>
        <w:rPr>
          <w:rFonts w:asciiTheme="majorHAnsi" w:hAnsiTheme="majorHAnsi" w:cstheme="majorHAnsi"/>
          <w:lang w:val="en-US"/>
        </w:rPr>
        <w:t>where</w:t>
      </w:r>
      <w:proofErr w:type="gramEnd"/>
      <w:r>
        <w:rPr>
          <w:rFonts w:asciiTheme="majorHAnsi" w:hAnsiTheme="majorHAnsi" w:cstheme="majorHAnsi"/>
          <w:lang w:val="en-US"/>
        </w:rPr>
        <w:t xml:space="preserve"> used for their intended purpose (for instance a kitchen knife). </w:t>
      </w:r>
    </w:p>
    <w:p w14:paraId="75F0A1FA" w14:textId="77777777" w:rsidR="008F6360" w:rsidRDefault="008F6360">
      <w:pPr>
        <w:pStyle w:val="Text00cm"/>
        <w:ind w:left="567" w:hanging="567"/>
        <w:jc w:val="both"/>
        <w:rPr>
          <w:rFonts w:asciiTheme="majorHAnsi" w:hAnsiTheme="majorHAnsi" w:cstheme="majorHAnsi"/>
          <w:lang w:val="en-US"/>
        </w:rPr>
      </w:pPr>
    </w:p>
    <w:p w14:paraId="2B82F9B8"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5AB2D219"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In the case of possession of weapons (proper or improper, if, due to the circumstances of time and place, they can be used to harm a person) outside one's own home and without justification or permits, </w:t>
      </w:r>
      <w:r>
        <w:rPr>
          <w:rFonts w:asciiTheme="majorHAnsi" w:hAnsiTheme="majorHAnsi" w:cstheme="majorHAnsi"/>
          <w:i/>
          <w:iCs/>
          <w:lang w:val="en-US"/>
        </w:rPr>
        <w:t xml:space="preserve">"the offender is punished with imprisonment from </w:t>
      </w:r>
      <w:r w:rsidR="0034367F">
        <w:rPr>
          <w:rFonts w:asciiTheme="majorHAnsi" w:hAnsiTheme="majorHAnsi" w:cstheme="majorHAnsi"/>
          <w:i/>
          <w:iCs/>
          <w:lang w:val="en-US"/>
        </w:rPr>
        <w:t>one</w:t>
      </w:r>
      <w:r w:rsidR="00A31840">
        <w:rPr>
          <w:rFonts w:asciiTheme="majorHAnsi" w:hAnsiTheme="majorHAnsi" w:cstheme="majorHAnsi"/>
          <w:i/>
          <w:iCs/>
          <w:lang w:val="en-US"/>
        </w:rPr>
        <w:t xml:space="preserve"> </w:t>
      </w:r>
      <w:r>
        <w:rPr>
          <w:rFonts w:asciiTheme="majorHAnsi" w:hAnsiTheme="majorHAnsi" w:cstheme="majorHAnsi"/>
          <w:i/>
          <w:iCs/>
          <w:lang w:val="en-US"/>
        </w:rPr>
        <w:t xml:space="preserve">to </w:t>
      </w:r>
      <w:r w:rsidR="0034367F">
        <w:rPr>
          <w:rFonts w:asciiTheme="majorHAnsi" w:hAnsiTheme="majorHAnsi" w:cstheme="majorHAnsi"/>
          <w:i/>
          <w:iCs/>
          <w:lang w:val="en-US"/>
        </w:rPr>
        <w:t>three</w:t>
      </w:r>
      <w:r>
        <w:rPr>
          <w:rFonts w:asciiTheme="majorHAnsi" w:hAnsiTheme="majorHAnsi" w:cstheme="majorHAnsi"/>
          <w:i/>
          <w:iCs/>
          <w:lang w:val="en-US"/>
        </w:rPr>
        <w:t xml:space="preserve"> years and a fine from € 1,000 to € 10,000"</w:t>
      </w:r>
      <w:r>
        <w:rPr>
          <w:rFonts w:asciiTheme="majorHAnsi" w:hAnsiTheme="majorHAnsi" w:cstheme="majorHAnsi"/>
          <w:lang w:val="en-US"/>
        </w:rPr>
        <w:t xml:space="preserve"> (Article 4 paragraph 3 of Law 110 of 18 April 1975). As an extenuating circumstance: </w:t>
      </w:r>
      <w:r>
        <w:rPr>
          <w:rFonts w:asciiTheme="majorHAnsi" w:hAnsiTheme="majorHAnsi" w:cstheme="majorHAnsi"/>
          <w:i/>
          <w:iCs/>
          <w:lang w:val="en-US"/>
        </w:rPr>
        <w:t>"in less serious cases, referring only to the carrying of offensive objects, only a fine can be imposed".</w:t>
      </w:r>
      <w:r>
        <w:rPr>
          <w:rFonts w:asciiTheme="majorHAnsi" w:hAnsiTheme="majorHAnsi" w:cstheme="majorHAnsi"/>
          <w:lang w:val="en-US"/>
        </w:rPr>
        <w:t xml:space="preserve"> As an aggravating circumstance: </w:t>
      </w:r>
      <w:r>
        <w:rPr>
          <w:rFonts w:asciiTheme="majorHAnsi" w:hAnsiTheme="majorHAnsi" w:cstheme="majorHAnsi"/>
          <w:i/>
          <w:iCs/>
          <w:lang w:val="en-US"/>
        </w:rPr>
        <w:t>"The penalty is increased if the offense occurs during or on the occasion of sports events"</w:t>
      </w:r>
      <w:r>
        <w:rPr>
          <w:rFonts w:asciiTheme="majorHAnsi" w:hAnsiTheme="majorHAnsi" w:cstheme="majorHAnsi"/>
          <w:lang w:val="en-US"/>
        </w:rPr>
        <w:t xml:space="preserve"> (Article 4 paragraph 3 of Law 110 of 18 April 1975). </w:t>
      </w:r>
    </w:p>
    <w:p w14:paraId="1932E326"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Another specific criminal offense refers to carrying a weapon in a “public gathering” (see para. 1.4. above). In this case sanctions could vary, depending on the specific circumstances, with imprisonment from </w:t>
      </w:r>
      <w:r w:rsidR="0034367F">
        <w:rPr>
          <w:rFonts w:asciiTheme="majorHAnsi" w:hAnsiTheme="majorHAnsi" w:cstheme="majorHAnsi"/>
          <w:lang w:val="en-US"/>
        </w:rPr>
        <w:t xml:space="preserve">two </w:t>
      </w:r>
      <w:r>
        <w:rPr>
          <w:rFonts w:asciiTheme="majorHAnsi" w:hAnsiTheme="majorHAnsi" w:cstheme="majorHAnsi"/>
          <w:lang w:val="en-US"/>
        </w:rPr>
        <w:t xml:space="preserve">to six years and with a fine from € </w:t>
      </w:r>
      <w:r w:rsidR="0034367F">
        <w:rPr>
          <w:rFonts w:asciiTheme="majorHAnsi" w:hAnsiTheme="majorHAnsi" w:cstheme="majorHAnsi"/>
          <w:lang w:val="en-US"/>
        </w:rPr>
        <w:t>3</w:t>
      </w:r>
      <w:r>
        <w:rPr>
          <w:rFonts w:asciiTheme="majorHAnsi" w:hAnsiTheme="majorHAnsi" w:cstheme="majorHAnsi"/>
          <w:lang w:val="en-US"/>
        </w:rPr>
        <w:t xml:space="preserve">.000 and € 20.000. </w:t>
      </w:r>
      <w:proofErr w:type="gramStart"/>
      <w:r>
        <w:rPr>
          <w:rFonts w:asciiTheme="majorHAnsi" w:hAnsiTheme="majorHAnsi" w:cstheme="majorHAnsi"/>
          <w:lang w:val="en-US"/>
        </w:rPr>
        <w:t>In particular, as</w:t>
      </w:r>
      <w:proofErr w:type="gramEnd"/>
      <w:r>
        <w:rPr>
          <w:rFonts w:asciiTheme="majorHAnsi" w:hAnsiTheme="majorHAnsi" w:cstheme="majorHAnsi"/>
          <w:lang w:val="en-US"/>
        </w:rPr>
        <w:t xml:space="preserve"> to the possession of Improper Weapons during a public gathering, the offender is punished with </w:t>
      </w:r>
      <w:r>
        <w:rPr>
          <w:rFonts w:asciiTheme="majorHAnsi" w:hAnsiTheme="majorHAnsi" w:cstheme="majorHAnsi"/>
          <w:i/>
          <w:iCs/>
          <w:lang w:val="en-US"/>
        </w:rPr>
        <w:t xml:space="preserve">“imprisonment from </w:t>
      </w:r>
      <w:r w:rsidR="00A830E6">
        <w:rPr>
          <w:rFonts w:asciiTheme="majorHAnsi" w:hAnsiTheme="majorHAnsi" w:cstheme="majorHAnsi"/>
          <w:i/>
          <w:iCs/>
          <w:lang w:val="en-US"/>
        </w:rPr>
        <w:t xml:space="preserve">one </w:t>
      </w:r>
      <w:r>
        <w:rPr>
          <w:rFonts w:asciiTheme="majorHAnsi" w:hAnsiTheme="majorHAnsi" w:cstheme="majorHAnsi"/>
          <w:i/>
          <w:iCs/>
          <w:lang w:val="en-US"/>
        </w:rPr>
        <w:t xml:space="preserve">to </w:t>
      </w:r>
      <w:r w:rsidR="00A830E6">
        <w:rPr>
          <w:rFonts w:asciiTheme="majorHAnsi" w:hAnsiTheme="majorHAnsi" w:cstheme="majorHAnsi"/>
          <w:i/>
          <w:iCs/>
          <w:lang w:val="en-US"/>
        </w:rPr>
        <w:t>three years</w:t>
      </w:r>
      <w:r>
        <w:rPr>
          <w:rFonts w:asciiTheme="majorHAnsi" w:hAnsiTheme="majorHAnsi" w:cstheme="majorHAnsi"/>
          <w:i/>
          <w:iCs/>
          <w:lang w:val="en-US"/>
        </w:rPr>
        <w:t xml:space="preserve"> and a fine from € 2.000 to € 20.000” </w:t>
      </w:r>
      <w:r>
        <w:rPr>
          <w:rFonts w:asciiTheme="majorHAnsi" w:hAnsiTheme="majorHAnsi" w:cstheme="majorHAnsi"/>
          <w:lang w:val="en-US"/>
        </w:rPr>
        <w:t>(Article 4 paragraph 5 of Law 110 of 18 April 1975).</w:t>
      </w:r>
    </w:p>
    <w:p w14:paraId="28E73530" w14:textId="77777777" w:rsidR="006D4AE1" w:rsidRDefault="006D4AE1">
      <w:pPr>
        <w:pStyle w:val="Text00cm"/>
        <w:ind w:left="567"/>
        <w:jc w:val="both"/>
        <w:rPr>
          <w:rFonts w:asciiTheme="majorHAnsi" w:hAnsiTheme="majorHAnsi" w:cstheme="majorHAnsi"/>
          <w:lang w:val="en-US"/>
        </w:rPr>
      </w:pPr>
    </w:p>
    <w:p w14:paraId="5040E904" w14:textId="77777777" w:rsidR="008F6360" w:rsidRDefault="00C659BF">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 xml:space="preserve">Are there any legislative developments?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653831D7"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At present, we are not aware of plans to change the current legal framework.</w:t>
      </w:r>
    </w:p>
    <w:p w14:paraId="37DCFAD2" w14:textId="77777777" w:rsidR="008F6360" w:rsidRDefault="008F6360">
      <w:pPr>
        <w:pStyle w:val="Text00cm"/>
        <w:ind w:left="567" w:hanging="567"/>
        <w:jc w:val="both"/>
        <w:rPr>
          <w:rFonts w:asciiTheme="majorHAnsi" w:hAnsiTheme="majorHAnsi" w:cstheme="majorHAnsi"/>
          <w:lang w:val="en-US"/>
        </w:rPr>
      </w:pPr>
    </w:p>
    <w:p w14:paraId="338F0B7A" w14:textId="77777777" w:rsidR="008F6360" w:rsidRDefault="00C659BF">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11B82236" w14:textId="77777777" w:rsidR="008F6360" w:rsidRDefault="00C659BF">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600531C1" w14:textId="77777777" w:rsidR="008F6360" w:rsidRDefault="00C659BF">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4252A589"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No, in Italy the reference legislation is dictated by EC Regulation 300/2008 and EU Regulation 2015/1998. </w:t>
      </w:r>
    </w:p>
    <w:p w14:paraId="77A54C3D"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In particular, pursuant to the provisions of Article 10 of EC Regulation 300/2008 and 4.0.1 of EU Regulation 2015/1998, the implementation of common basic standards for aviation security is delegated to individual Member States. </w:t>
      </w:r>
    </w:p>
    <w:p w14:paraId="1B6AA757"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In accordance with these European provisions, the Ente Nazionale per </w:t>
      </w:r>
      <w:proofErr w:type="spellStart"/>
      <w:r>
        <w:rPr>
          <w:rFonts w:asciiTheme="majorHAnsi" w:hAnsiTheme="majorHAnsi" w:cstheme="majorHAnsi"/>
          <w:lang w:val="en-US"/>
        </w:rPr>
        <w:t>l'Aviazione</w:t>
      </w:r>
      <w:proofErr w:type="spellEnd"/>
      <w:r>
        <w:rPr>
          <w:rFonts w:asciiTheme="majorHAnsi" w:hAnsiTheme="majorHAnsi" w:cstheme="majorHAnsi"/>
          <w:lang w:val="en-US"/>
        </w:rPr>
        <w:t xml:space="preserve"> Civile (i.e. "ENAC") the Italian regulatory authority that ensures the safety of flights and passengers has implemented a "National Program for Civil Aviation Safety". </w:t>
      </w:r>
    </w:p>
    <w:p w14:paraId="65A26CBA"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This document is not accessible, as it is reserved for those working in the sector. However, representatives of ENAC unofficially contacted by us confirmed that this "Program" embodies the European rule that blades longer than 6 cm and all other objects mentioned in Attachment 4-C of Reg. 2015/1998 may not be carried on board of aircrafts and in airport security areas.</w:t>
      </w:r>
    </w:p>
    <w:p w14:paraId="2331F749" w14:textId="77777777" w:rsidR="008F6360" w:rsidRDefault="008F6360">
      <w:pPr>
        <w:pStyle w:val="Text00cm"/>
        <w:ind w:left="567" w:hanging="567"/>
        <w:jc w:val="both"/>
        <w:rPr>
          <w:rFonts w:asciiTheme="majorHAnsi" w:hAnsiTheme="majorHAnsi" w:cstheme="majorHAnsi"/>
          <w:lang w:val="en-US"/>
        </w:rPr>
      </w:pPr>
    </w:p>
    <w:p w14:paraId="4EE86B95" w14:textId="77777777" w:rsidR="008F6360" w:rsidRDefault="00C659BF">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lastRenderedPageBreak/>
        <w:t>If your country is outside the EU, what are the corresponding local regulations?</w:t>
      </w:r>
    </w:p>
    <w:p w14:paraId="45741895"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N/A</w:t>
      </w:r>
    </w:p>
    <w:p w14:paraId="11DFE3B9" w14:textId="77777777" w:rsidR="008F6360" w:rsidRDefault="008F6360">
      <w:pPr>
        <w:pStyle w:val="Text00cm"/>
        <w:jc w:val="both"/>
        <w:rPr>
          <w:rFonts w:asciiTheme="majorHAnsi" w:hAnsiTheme="majorHAnsi" w:cstheme="majorHAnsi"/>
          <w:lang w:val="en-US"/>
        </w:rPr>
      </w:pPr>
    </w:p>
    <w:p w14:paraId="552FF0A5" w14:textId="77777777" w:rsidR="008F6360" w:rsidRDefault="00C659BF">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2B2FCBE0"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Article 6 of EC Regulation 300/2008 provides that member states may apply stricter measures (see paragraph 2.1.1. above). </w:t>
      </w:r>
      <w:proofErr w:type="gramStart"/>
      <w:r>
        <w:rPr>
          <w:rFonts w:asciiTheme="majorHAnsi" w:hAnsiTheme="majorHAnsi" w:cstheme="majorHAnsi"/>
          <w:lang w:val="en-US"/>
        </w:rPr>
        <w:t>With regard to</w:t>
      </w:r>
      <w:proofErr w:type="gramEnd"/>
      <w:r>
        <w:rPr>
          <w:rFonts w:asciiTheme="majorHAnsi" w:hAnsiTheme="majorHAnsi" w:cstheme="majorHAnsi"/>
          <w:lang w:val="en-US"/>
        </w:rPr>
        <w:t xml:space="preserve"> airport/airlines it is advisable to check the detailed safety plans of individual operators, with particular regard to airlines ("list of prohibited in the cabin" usually available on the relevant websites).</w:t>
      </w:r>
    </w:p>
    <w:p w14:paraId="63AD135C" w14:textId="77777777" w:rsidR="008F6360" w:rsidRDefault="008F6360">
      <w:pPr>
        <w:pStyle w:val="Text00cm"/>
        <w:ind w:left="567" w:hanging="567"/>
        <w:jc w:val="both"/>
        <w:rPr>
          <w:rFonts w:asciiTheme="majorHAnsi" w:hAnsiTheme="majorHAnsi" w:cstheme="majorHAnsi"/>
          <w:lang w:val="en-US"/>
        </w:rPr>
      </w:pPr>
    </w:p>
    <w:p w14:paraId="01CC991A" w14:textId="77777777" w:rsidR="008F6360" w:rsidRDefault="00C659BF">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May a pair of scissors or a saw be included in a </w:t>
      </w:r>
      <w:proofErr w:type="gramStart"/>
      <w:r>
        <w:rPr>
          <w:rFonts w:asciiTheme="majorHAnsi" w:hAnsiTheme="majorHAnsi" w:cstheme="majorHAnsi"/>
          <w:i/>
          <w:iCs/>
          <w:lang w:val="en-US"/>
        </w:rPr>
        <w:t>pocket knife</w:t>
      </w:r>
      <w:proofErr w:type="gramEnd"/>
      <w:r>
        <w:rPr>
          <w:rFonts w:asciiTheme="majorHAnsi" w:hAnsiTheme="majorHAnsi" w:cstheme="majorHAnsi"/>
          <w:i/>
          <w:iCs/>
          <w:lang w:val="en-US"/>
        </w:rPr>
        <w:t xml:space="preserve"> with a blade of max. 6cm? If so, is the size of the pair of scissors or the length of the saw of relevance?</w:t>
      </w:r>
    </w:p>
    <w:p w14:paraId="211A2468"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The regulations do not make distinctions and/or impediments </w:t>
      </w:r>
      <w:proofErr w:type="gramStart"/>
      <w:r>
        <w:rPr>
          <w:rFonts w:asciiTheme="majorHAnsi" w:hAnsiTheme="majorHAnsi" w:cstheme="majorHAnsi"/>
          <w:lang w:val="en-US"/>
        </w:rPr>
        <w:t>with regard to</w:t>
      </w:r>
      <w:proofErr w:type="gramEnd"/>
      <w:r>
        <w:rPr>
          <w:rFonts w:asciiTheme="majorHAnsi" w:hAnsiTheme="majorHAnsi" w:cstheme="majorHAnsi"/>
          <w:lang w:val="en-US"/>
        </w:rPr>
        <w:t xml:space="preserve"> the presence of more than one blade in the same instrument. </w:t>
      </w:r>
    </w:p>
    <w:p w14:paraId="02F378D6" w14:textId="7C8EFAD8"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In the case of scissors, the provision under letter (c) of Attachment 4-C of EU Reg. 2015/1998 is applicable and therefore scissors with blades of up to 6 cm (measured from the fulcrum to the tip) are allowed. </w:t>
      </w:r>
    </w:p>
    <w:p w14:paraId="516F660F"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 xml:space="preserve">The provision concerning saws, however, pursuant to the subsequent letter (d) of Attachment 4-C of EU Reg. 2015/1998, places a ban on carrying </w:t>
      </w:r>
      <w:r>
        <w:rPr>
          <w:rFonts w:asciiTheme="majorHAnsi" w:hAnsiTheme="majorHAnsi" w:cstheme="majorHAnsi"/>
          <w:i/>
          <w:iCs/>
          <w:lang w:val="en-US"/>
        </w:rPr>
        <w:t>“saws, including cordless portable power saws”</w:t>
      </w:r>
      <w:r>
        <w:rPr>
          <w:rFonts w:asciiTheme="majorHAnsi" w:hAnsiTheme="majorHAnsi" w:cstheme="majorHAnsi"/>
          <w:lang w:val="en-US"/>
        </w:rPr>
        <w:t xml:space="preserve"> in carry-on baggage without any distinction in terms of the length of the saw.</w:t>
      </w:r>
    </w:p>
    <w:p w14:paraId="39AB2FC2" w14:textId="77777777" w:rsidR="008F6360" w:rsidRDefault="008F6360">
      <w:pPr>
        <w:pStyle w:val="Text00cm"/>
        <w:ind w:left="567" w:hanging="567"/>
        <w:jc w:val="both"/>
        <w:rPr>
          <w:rFonts w:asciiTheme="majorHAnsi" w:hAnsiTheme="majorHAnsi" w:cstheme="majorHAnsi"/>
          <w:lang w:val="en-US"/>
        </w:rPr>
      </w:pPr>
    </w:p>
    <w:p w14:paraId="7753FBF1" w14:textId="77777777" w:rsidR="008F6360" w:rsidRDefault="00C659BF">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6BF53DEA"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According to the above-mentioned European Regulations, all objects having</w:t>
      </w:r>
      <w:r>
        <w:rPr>
          <w:rFonts w:asciiTheme="majorHAnsi" w:hAnsiTheme="majorHAnsi" w:cstheme="majorHAnsi"/>
          <w:i/>
          <w:iCs/>
          <w:lang w:val="en-US"/>
        </w:rPr>
        <w:t xml:space="preserve">: ”a sharp point or a sharp edge capable of being used to cause serious injury, including: items designed for chopping, such as axes, hatchets and cleavers; ice axes and ice picks; razor blades; box cutters, knives with blades of more than 6 cm; scissors with blades of more than 6 cm measured from the fulcrum; martial arts equipment with a sharp point or sharp edge; swords and </w:t>
      </w:r>
      <w:proofErr w:type="spellStart"/>
      <w:r>
        <w:rPr>
          <w:rFonts w:asciiTheme="majorHAnsi" w:hAnsiTheme="majorHAnsi" w:cstheme="majorHAnsi"/>
          <w:i/>
          <w:iCs/>
          <w:lang w:val="en-US"/>
        </w:rPr>
        <w:t>sabres</w:t>
      </w:r>
      <w:proofErr w:type="spellEnd"/>
      <w:r>
        <w:rPr>
          <w:rFonts w:asciiTheme="majorHAnsi" w:hAnsiTheme="majorHAnsi" w:cstheme="majorHAnsi"/>
          <w:i/>
          <w:iCs/>
          <w:lang w:val="en-US"/>
        </w:rPr>
        <w:t>”</w:t>
      </w:r>
      <w:r>
        <w:rPr>
          <w:rFonts w:asciiTheme="majorHAnsi" w:hAnsiTheme="majorHAnsi" w:cstheme="majorHAnsi"/>
          <w:lang w:val="en-US"/>
        </w:rPr>
        <w:t xml:space="preserve"> (Attachment 4-C: List of prohibited articles for passengers and cabin baggage, letter (c) “objects with a sharp point or edge”; Regulation (UE) 2015/1998).</w:t>
      </w:r>
    </w:p>
    <w:p w14:paraId="3A553378" w14:textId="77777777" w:rsidR="008F6360" w:rsidRDefault="008F6360">
      <w:pPr>
        <w:pStyle w:val="Text00cm"/>
        <w:ind w:left="567" w:hanging="567"/>
        <w:jc w:val="both"/>
        <w:rPr>
          <w:rFonts w:asciiTheme="majorHAnsi" w:hAnsiTheme="majorHAnsi" w:cstheme="majorHAnsi"/>
          <w:lang w:val="en-US"/>
        </w:rPr>
      </w:pPr>
    </w:p>
    <w:p w14:paraId="71A44700" w14:textId="77777777" w:rsidR="008F6360" w:rsidRDefault="00C659BF">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4644C4FC"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No, not to our knowledge.</w:t>
      </w:r>
    </w:p>
    <w:p w14:paraId="5745C64C" w14:textId="77777777" w:rsidR="008F6360" w:rsidRDefault="008F6360">
      <w:pPr>
        <w:pStyle w:val="Text00cm"/>
        <w:ind w:left="567" w:hanging="567"/>
        <w:jc w:val="both"/>
        <w:rPr>
          <w:rFonts w:asciiTheme="majorHAnsi" w:hAnsiTheme="majorHAnsi" w:cstheme="majorHAnsi"/>
          <w:lang w:val="en-US"/>
        </w:rPr>
      </w:pPr>
    </w:p>
    <w:p w14:paraId="2AD527C7" w14:textId="77777777" w:rsidR="008F6360" w:rsidRDefault="00C659BF">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Are there any changes intended </w:t>
      </w:r>
      <w:proofErr w:type="gramStart"/>
      <w:r>
        <w:rPr>
          <w:rFonts w:asciiTheme="majorHAnsi" w:hAnsiTheme="majorHAnsi" w:cstheme="majorHAnsi"/>
          <w:i/>
          <w:iCs/>
          <w:lang w:val="en-US"/>
        </w:rPr>
        <w:t>in the near future</w:t>
      </w:r>
      <w:proofErr w:type="gramEnd"/>
      <w:r>
        <w:rPr>
          <w:rFonts w:asciiTheme="majorHAnsi" w:hAnsiTheme="majorHAnsi" w:cstheme="majorHAnsi"/>
          <w:i/>
          <w:iCs/>
          <w:lang w:val="en-US"/>
        </w:rPr>
        <w:t xml:space="preserve">?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4E63D2C9" w14:textId="77777777" w:rsidR="008F6360" w:rsidRDefault="00C659BF">
      <w:pPr>
        <w:pStyle w:val="Text00cm"/>
        <w:ind w:left="567"/>
        <w:jc w:val="both"/>
        <w:rPr>
          <w:rFonts w:asciiTheme="majorHAnsi" w:hAnsiTheme="majorHAnsi" w:cstheme="majorHAnsi"/>
          <w:lang w:val="en-US"/>
        </w:rPr>
      </w:pPr>
      <w:r>
        <w:rPr>
          <w:rFonts w:asciiTheme="majorHAnsi" w:hAnsiTheme="majorHAnsi" w:cstheme="majorHAnsi"/>
          <w:lang w:val="en-US"/>
        </w:rPr>
        <w:t>At present, we are not aware of plans to change the current legal framework.</w:t>
      </w:r>
    </w:p>
    <w:p w14:paraId="669A4C86" w14:textId="77777777" w:rsidR="008F6360" w:rsidRDefault="008F6360">
      <w:pPr>
        <w:pStyle w:val="Text00cm"/>
        <w:ind w:left="567" w:hanging="567"/>
        <w:jc w:val="both"/>
        <w:rPr>
          <w:rFonts w:asciiTheme="majorHAnsi" w:hAnsiTheme="majorHAnsi" w:cstheme="majorHAnsi"/>
          <w:lang w:val="en-US"/>
        </w:rPr>
      </w:pPr>
    </w:p>
    <w:p w14:paraId="487692E9" w14:textId="77777777" w:rsidR="008F6360" w:rsidRDefault="00C659BF">
      <w:pPr>
        <w:pStyle w:val="Text00cm"/>
        <w:ind w:left="567" w:hanging="567"/>
        <w:jc w:val="both"/>
        <w:rPr>
          <w:rFonts w:asciiTheme="majorHAnsi" w:hAnsiTheme="majorHAnsi" w:cstheme="majorHAnsi"/>
          <w:lang w:val="en-US"/>
        </w:rPr>
      </w:pPr>
      <w:r>
        <w:rPr>
          <w:rFonts w:asciiTheme="majorHAnsi" w:hAnsiTheme="majorHAnsi" w:cstheme="majorHAnsi"/>
          <w:lang w:val="en-US"/>
        </w:rPr>
        <w:t xml:space="preserve">Ibach, Switzerland, </w:t>
      </w:r>
      <w:r w:rsidR="001F0C9B">
        <w:rPr>
          <w:rFonts w:asciiTheme="majorHAnsi" w:hAnsiTheme="majorHAnsi" w:cstheme="majorHAnsi"/>
          <w:lang w:val="en-US"/>
        </w:rPr>
        <w:t>18 December</w:t>
      </w:r>
      <w:r>
        <w:rPr>
          <w:rFonts w:asciiTheme="majorHAnsi" w:hAnsiTheme="majorHAnsi" w:cstheme="majorHAnsi"/>
          <w:lang w:val="en-US"/>
        </w:rPr>
        <w:t xml:space="preserve"> 202</w:t>
      </w:r>
      <w:r w:rsidR="001F0C9B">
        <w:rPr>
          <w:rFonts w:asciiTheme="majorHAnsi" w:hAnsiTheme="majorHAnsi" w:cstheme="majorHAnsi"/>
          <w:lang w:val="en-US"/>
        </w:rPr>
        <w:t>4</w:t>
      </w:r>
    </w:p>
    <w:p w14:paraId="7034D40D" w14:textId="77777777" w:rsidR="008F6360" w:rsidRDefault="00C659BF">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8F6360">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474DE" w14:textId="77777777" w:rsidR="00C659BF" w:rsidRDefault="00C659BF">
      <w:r>
        <w:separator/>
      </w:r>
    </w:p>
  </w:endnote>
  <w:endnote w:type="continuationSeparator" w:id="0">
    <w:p w14:paraId="72D51F56" w14:textId="77777777" w:rsidR="00C659BF" w:rsidRDefault="00C659BF">
      <w:r>
        <w:continuationSeparator/>
      </w:r>
    </w:p>
  </w:endnote>
  <w:endnote w:type="continuationNotice" w:id="1">
    <w:p w14:paraId="7E3A8611" w14:textId="77777777" w:rsidR="0011334A" w:rsidRDefault="001133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968B7" w14:textId="77777777" w:rsidR="00C659BF" w:rsidRDefault="00C659BF">
      <w:r>
        <w:separator/>
      </w:r>
    </w:p>
  </w:footnote>
  <w:footnote w:type="continuationSeparator" w:id="0">
    <w:p w14:paraId="16AC15BC" w14:textId="77777777" w:rsidR="00C659BF" w:rsidRDefault="00C659BF">
      <w:r>
        <w:continuationSeparator/>
      </w:r>
    </w:p>
  </w:footnote>
  <w:footnote w:type="continuationNotice" w:id="1">
    <w:p w14:paraId="3D8E1270" w14:textId="77777777" w:rsidR="0011334A" w:rsidRDefault="001133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9B86E8E"/>
    <w:multiLevelType w:val="hybridMultilevel"/>
    <w:tmpl w:val="88F5463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89F0F0"/>
    <w:multiLevelType w:val="hybridMultilevel"/>
    <w:tmpl w:val="9403F3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74B2DFC"/>
    <w:multiLevelType w:val="hybridMultilevel"/>
    <w:tmpl w:val="8F2AD1C6"/>
    <w:lvl w:ilvl="0" w:tplc="D99CB37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304441"/>
    <w:multiLevelType w:val="hybridMultilevel"/>
    <w:tmpl w:val="6EB8ECAE"/>
    <w:lvl w:ilvl="0" w:tplc="08070017">
      <w:start w:val="1"/>
      <w:numFmt w:val="lowerLetter"/>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16cid:durableId="1661887498">
    <w:abstractNumId w:val="11"/>
  </w:num>
  <w:num w:numId="2" w16cid:durableId="206066938">
    <w:abstractNumId w:val="12"/>
  </w:num>
  <w:num w:numId="3" w16cid:durableId="1082065607">
    <w:abstractNumId w:val="12"/>
  </w:num>
  <w:num w:numId="4" w16cid:durableId="1739134271">
    <w:abstractNumId w:val="12"/>
  </w:num>
  <w:num w:numId="5" w16cid:durableId="72509706">
    <w:abstractNumId w:val="12"/>
  </w:num>
  <w:num w:numId="6" w16cid:durableId="1185172107">
    <w:abstractNumId w:val="10"/>
  </w:num>
  <w:num w:numId="7" w16cid:durableId="1999338730">
    <w:abstractNumId w:val="8"/>
  </w:num>
  <w:num w:numId="8" w16cid:durableId="1769428451">
    <w:abstractNumId w:val="7"/>
  </w:num>
  <w:num w:numId="9" w16cid:durableId="1741632009">
    <w:abstractNumId w:val="6"/>
  </w:num>
  <w:num w:numId="10" w16cid:durableId="828640487">
    <w:abstractNumId w:val="5"/>
  </w:num>
  <w:num w:numId="11" w16cid:durableId="672803598">
    <w:abstractNumId w:val="9"/>
  </w:num>
  <w:num w:numId="12" w16cid:durableId="605425056">
    <w:abstractNumId w:val="4"/>
  </w:num>
  <w:num w:numId="13" w16cid:durableId="1543208303">
    <w:abstractNumId w:val="3"/>
  </w:num>
  <w:num w:numId="14" w16cid:durableId="787897117">
    <w:abstractNumId w:val="2"/>
  </w:num>
  <w:num w:numId="15" w16cid:durableId="1146439227">
    <w:abstractNumId w:val="1"/>
  </w:num>
  <w:num w:numId="16" w16cid:durableId="1677919740">
    <w:abstractNumId w:val="12"/>
  </w:num>
  <w:num w:numId="17" w16cid:durableId="1136794393">
    <w:abstractNumId w:val="12"/>
  </w:num>
  <w:num w:numId="18" w16cid:durableId="478426028">
    <w:abstractNumId w:val="12"/>
  </w:num>
  <w:num w:numId="19" w16cid:durableId="2119131396">
    <w:abstractNumId w:val="12"/>
  </w:num>
  <w:num w:numId="20" w16cid:durableId="1506239201">
    <w:abstractNumId w:val="11"/>
  </w:num>
  <w:num w:numId="21" w16cid:durableId="1977487281">
    <w:abstractNumId w:val="12"/>
  </w:num>
  <w:num w:numId="22" w16cid:durableId="530147926">
    <w:abstractNumId w:val="12"/>
  </w:num>
  <w:num w:numId="23" w16cid:durableId="1676683756">
    <w:abstractNumId w:val="11"/>
  </w:num>
  <w:num w:numId="24" w16cid:durableId="435364840">
    <w:abstractNumId w:val="11"/>
  </w:num>
  <w:num w:numId="25" w16cid:durableId="1287614919">
    <w:abstractNumId w:val="11"/>
  </w:num>
  <w:num w:numId="26" w16cid:durableId="710689208">
    <w:abstractNumId w:val="11"/>
  </w:num>
  <w:num w:numId="27" w16cid:durableId="846405397">
    <w:abstractNumId w:val="11"/>
  </w:num>
  <w:num w:numId="28" w16cid:durableId="1813063851">
    <w:abstractNumId w:val="12"/>
  </w:num>
  <w:num w:numId="29" w16cid:durableId="1987586925">
    <w:abstractNumId w:val="12"/>
  </w:num>
  <w:num w:numId="30" w16cid:durableId="786655628">
    <w:abstractNumId w:val="12"/>
  </w:num>
  <w:num w:numId="31" w16cid:durableId="1144541139">
    <w:abstractNumId w:val="14"/>
  </w:num>
  <w:num w:numId="32" w16cid:durableId="255595445">
    <w:abstractNumId w:val="17"/>
  </w:num>
  <w:num w:numId="33" w16cid:durableId="934482214">
    <w:abstractNumId w:val="16"/>
  </w:num>
  <w:num w:numId="34" w16cid:durableId="2128155983">
    <w:abstractNumId w:val="0"/>
  </w:num>
  <w:num w:numId="35" w16cid:durableId="2002543625">
    <w:abstractNumId w:val="13"/>
  </w:num>
  <w:num w:numId="36" w16cid:durableId="711855088">
    <w:abstractNumId w:val="18"/>
  </w:num>
  <w:num w:numId="37" w16cid:durableId="10854151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360"/>
    <w:rsid w:val="0011334A"/>
    <w:rsid w:val="001636F9"/>
    <w:rsid w:val="00165E2E"/>
    <w:rsid w:val="001A758D"/>
    <w:rsid w:val="001F0C9B"/>
    <w:rsid w:val="002103D4"/>
    <w:rsid w:val="002C65AD"/>
    <w:rsid w:val="0034367F"/>
    <w:rsid w:val="003F2CA3"/>
    <w:rsid w:val="00444D54"/>
    <w:rsid w:val="006D4AE1"/>
    <w:rsid w:val="007036BE"/>
    <w:rsid w:val="007236AB"/>
    <w:rsid w:val="007C5D98"/>
    <w:rsid w:val="007C7001"/>
    <w:rsid w:val="008838D4"/>
    <w:rsid w:val="008F6360"/>
    <w:rsid w:val="009A0CE4"/>
    <w:rsid w:val="00A10125"/>
    <w:rsid w:val="00A31840"/>
    <w:rsid w:val="00A830E6"/>
    <w:rsid w:val="00AA4111"/>
    <w:rsid w:val="00B071D0"/>
    <w:rsid w:val="00B70D40"/>
    <w:rsid w:val="00C06667"/>
    <w:rsid w:val="00C111FC"/>
    <w:rsid w:val="00C33969"/>
    <w:rsid w:val="00C4139F"/>
    <w:rsid w:val="00C659BF"/>
    <w:rsid w:val="00CA458E"/>
    <w:rsid w:val="00CF7A85"/>
    <w:rsid w:val="00D17992"/>
    <w:rsid w:val="00D24B8E"/>
    <w:rsid w:val="00D74AB1"/>
    <w:rsid w:val="00DE6340"/>
    <w:rsid w:val="00DF675F"/>
    <w:rsid w:val="00E5754E"/>
    <w:rsid w:val="00E96BD7"/>
    <w:rsid w:val="00ED6528"/>
    <w:rsid w:val="00F01C7A"/>
    <w:rsid w:val="00F34E5A"/>
    <w:rsid w:val="00F72229"/>
    <w:rsid w:val="00FB6220"/>
    <w:rsid w:val="00FD1231"/>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E55A27"/>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ascii="Garamond" w:hAnsi="Garamond" w:cs="Garamond"/>
      <w:color w:val="000000"/>
      <w:sz w:val="24"/>
      <w:szCs w:val="24"/>
    </w:rPr>
  </w:style>
  <w:style w:type="paragraph" w:styleId="Listenabsatz">
    <w:name w:val="List Paragraph"/>
    <w:basedOn w:val="Standard"/>
    <w:uiPriority w:val="34"/>
    <w:pPr>
      <w:ind w:left="720"/>
      <w:contextualSpacing/>
    </w:pPr>
  </w:style>
  <w:style w:type="character" w:styleId="Kommentarzeichen">
    <w:name w:val="annotation reference"/>
    <w:basedOn w:val="Absatz-Standardschriftart"/>
    <w:semiHidden/>
    <w:unhideWhenUsed/>
    <w:rsid w:val="00F34E5A"/>
    <w:rPr>
      <w:sz w:val="16"/>
      <w:szCs w:val="16"/>
    </w:rPr>
  </w:style>
  <w:style w:type="paragraph" w:styleId="Kommentartext">
    <w:name w:val="annotation text"/>
    <w:basedOn w:val="Standard"/>
    <w:link w:val="KommentartextZchn"/>
    <w:unhideWhenUsed/>
    <w:rsid w:val="00F34E5A"/>
  </w:style>
  <w:style w:type="character" w:customStyle="1" w:styleId="KommentartextZchn">
    <w:name w:val="Kommentartext Zchn"/>
    <w:basedOn w:val="Absatz-Standardschriftart"/>
    <w:link w:val="Kommentartext"/>
    <w:rsid w:val="00F34E5A"/>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F34E5A"/>
    <w:rPr>
      <w:b/>
      <w:bCs/>
    </w:rPr>
  </w:style>
  <w:style w:type="character" w:customStyle="1" w:styleId="KommentarthemaZchn">
    <w:name w:val="Kommentarthema Zchn"/>
    <w:basedOn w:val="KommentartextZchn"/>
    <w:link w:val="Kommentarthema"/>
    <w:semiHidden/>
    <w:rsid w:val="00F34E5A"/>
    <w:rPr>
      <w:rFonts w:asciiTheme="minorHAnsi" w:eastAsiaTheme="minorEastAsia"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62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VICTLEGAL01-1001592933-1370</_dlc_DocId>
    <_dlc_DocIdUrl xmlns="aebe8cdc-4d27-4188-80bf-c5b93404cadb">
      <Url>https://victorinox.sharepoint.com/sites/legal01/2018-00183/_layouts/15/DocIdRedir.aspx?ID=VICTLEGAL01-1001592933-1370</Url>
      <Description>VICTLEGAL01-1001592933-1370</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4814FA6D-BC20-44BD-AD60-49E8CC7D2AE3}"/>
</file>

<file path=customXml/itemProps4.xml><?xml version="1.0" encoding="utf-8"?>
<ds:datastoreItem xmlns:ds="http://schemas.openxmlformats.org/officeDocument/2006/customXml" ds:itemID="{8C73EA9F-B8E8-498A-B783-F3A8DC858238}">
  <ds:schemaRefs>
    <ds:schemaRef ds:uri="http://schemas.microsoft.com/office/2006/metadata/properties"/>
    <ds:schemaRef ds:uri="http://schemas.microsoft.com/office/infopath/2007/PartnerControls"/>
    <ds:schemaRef ds:uri="aebe8cdc-4d27-4188-80bf-c5b93404cadb"/>
  </ds:schemaRefs>
</ds:datastoreItem>
</file>

<file path=customXml/itemProps5.xml><?xml version="1.0" encoding="utf-8"?>
<ds:datastoreItem xmlns:ds="http://schemas.openxmlformats.org/officeDocument/2006/customXml" ds:itemID="{8004351C-6461-4DF9-B190-020C6973B891}">
  <ds:schemaRefs>
    <ds:schemaRef ds:uri="http://schemas.openxmlformats.org/officeDocument/2006/bibliography"/>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1398</Words>
  <Characters>8812</Characters>
  <Application>Microsoft Office Word</Application>
  <DocSecurity>0</DocSecurity>
  <Lines>73</Lines>
  <Paragraphs>20</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37</cp:revision>
  <dcterms:created xsi:type="dcterms:W3CDTF">2024-12-18T13:51:00Z</dcterms:created>
  <dcterms:modified xsi:type="dcterms:W3CDTF">2025-01-28T06:00:00Z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9e76927e-b78b-42c2-9d5b-f27ea03297de</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2022-05-16T05:46:00+00:00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Italy_Knife Legislation and Handling at Airports_Questionnaire_final_18.12.2024.docx</vt:lpwstr>
  </property>
  <property fmtid="{D5CDD505-2E9C-101B-9397-08002B2CF9AE}" pid="26" name="Conversation topic">
    <vt:lpwstr>Italy_Knife Legislation and Handling at Airports_Questionnaire_final_18.12.2024.docx</vt:lpwstr>
  </property>
  <property fmtid="{D5CDD505-2E9C-101B-9397-08002B2CF9AE}" pid="27" name="Message delivery time">
    <vt:filetime>2025-01-28T06:01:13Z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2025-01-28T06:01:13Z</vt:filetime>
  </property>
  <property fmtid="{D5CDD505-2E9C-101B-9397-08002B2CF9AE}" pid="41" name="Creation time">
    <vt:filetime>2025-01-28T06:01:13Z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122880</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