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16BAE0C0" w:rsidR="002E57C2" w:rsidRPr="008A172A"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r>
      <w:r w:rsidR="00D2624C">
        <w:rPr>
          <w:rFonts w:ascii="Arial" w:hAnsi="Arial" w:cs="Arial"/>
        </w:rPr>
        <w:lastRenderedPageBreak/>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 xml:space="preserve">Provides access to unmanaged SDL2, SDL2_image, SDL2_mixer, SDL2_ttf, and my fork of </w:t>
      </w:r>
      <w:r w:rsidR="0093633B" w:rsidRPr="00D30ED3">
        <w:rPr>
          <w:rFonts w:ascii="Arial" w:hAnsi="Arial" w:cs="Arial"/>
          <w:sz w:val="22"/>
          <w:szCs w:val="22"/>
        </w:rPr>
        <w:lastRenderedPageBreak/>
        <w:t>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07965656" w:rsidR="00162687" w:rsidRPr="00162687"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15B807B0" w14:textId="68420041" w:rsidR="00DA172D" w:rsidRDefault="00BE34B5" w:rsidP="00F61A85">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 xml:space="preserve">Manager::Load </w:t>
      </w:r>
      <w:r w:rsidR="00DA172D">
        <w:rPr>
          <w:rFonts w:ascii="Arial" w:hAnsi="Arial" w:cs="Arial"/>
          <w:sz w:val="22"/>
          <w:szCs w:val="22"/>
        </w:rPr>
        <w:t>method.</w:t>
      </w:r>
    </w:p>
    <w:p w14:paraId="6428AB60" w14:textId="77777777" w:rsidR="007F7C10" w:rsidRDefault="00DA172D" w:rsidP="00341410">
      <w:pPr>
        <w:spacing w:line="240" w:lineRule="auto"/>
        <w:rPr>
          <w:rFonts w:ascii="Arial" w:hAnsi="Arial" w:cs="Arial"/>
          <w:b/>
          <w:bCs/>
          <w:sz w:val="24"/>
          <w:szCs w:val="24"/>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115E5240" w:rsidR="007F7C10" w:rsidRPr="007F7C10"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 xml:space="preserve">Adds a particle effect </w:t>
      </w:r>
      <w:r>
        <w:rPr>
          <w:rFonts w:ascii="Arial" w:hAnsi="Arial" w:cs="Arial"/>
          <w:sz w:val="22"/>
          <w:szCs w:val="22"/>
        </w:rPr>
        <w:t>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p>
    <w:p w14:paraId="3E44CB9A" w14:textId="77777777" w:rsidR="007F7C10" w:rsidRPr="00162687" w:rsidRDefault="007F7C10" w:rsidP="00F61A85">
      <w:pPr>
        <w:spacing w:line="240" w:lineRule="auto"/>
        <w:rPr>
          <w:rFonts w:ascii="Arial" w:hAnsi="Arial" w:cs="Arial"/>
          <w:b/>
          <w:bCs/>
          <w:sz w:val="22"/>
          <w:szCs w:val="22"/>
        </w:rPr>
      </w:pP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w:t>
      </w:r>
      <w:r>
        <w:rPr>
          <w:rFonts w:ascii="Arial" w:hAnsi="Arial" w:cs="Arial"/>
          <w:sz w:val="22"/>
          <w:szCs w:val="22"/>
        </w:rPr>
        <w:lastRenderedPageBreak/>
        <w:t>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AudioFile GetFileWith</w:t>
      </w:r>
      <w:r>
        <w:rPr>
          <w:rFonts w:ascii="Arial" w:hAnsi="Arial" w:cs="Arial"/>
          <w:b/>
          <w:bCs/>
          <w:sz w:val="22"/>
          <w:szCs w:val="22"/>
        </w:rPr>
        <w:t>Path</w:t>
      </w:r>
      <w:r>
        <w:rPr>
          <w:rFonts w:ascii="Arial" w:hAnsi="Arial" w:cs="Arial"/>
          <w:b/>
          <w:bCs/>
          <w:sz w:val="22"/>
          <w:szCs w:val="22"/>
        </w:rPr>
        <w:t xml:space="preserve">(string name): </w:t>
      </w:r>
      <w:r>
        <w:rPr>
          <w:rFonts w:ascii="Arial" w:hAnsi="Arial" w:cs="Arial"/>
          <w:sz w:val="22"/>
          <w:szCs w:val="22"/>
        </w:rPr>
        <w:t xml:space="preserve">Returns an AudioFile in the AudioManager’s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lastRenderedPageBreak/>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4B2F04D7" w:rsidR="00BA6F7E"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is changed to a relative path to the folder game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DeleteUnpackedFilesOnExit</w:t>
      </w:r>
      <w:r w:rsidR="00495AC5">
        <w:rPr>
          <w:rFonts w:ascii="Arial" w:hAnsi="Arial" w:cs="Arial"/>
          <w:b/>
          <w:bCs/>
          <w:sz w:val="22"/>
          <w:szCs w:val="22"/>
        </w:rPr>
        <w:t xml:space="preserve">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lastRenderedPageBreak/>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2F59AC41"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 xml:space="preserve">Required arguments for </w:t>
      </w:r>
      <w:r w:rsidRPr="00333FC7">
        <w:rPr>
          <w:rFonts w:ascii="Arial" w:hAnsi="Arial" w:cs="Arial"/>
          <w:b/>
          <w:bCs/>
          <w:sz w:val="24"/>
          <w:szCs w:val="24"/>
        </w:rPr>
        <w:t xml:space="preserve">extract </w:t>
      </w:r>
      <w:r w:rsidRPr="00333FC7">
        <w:rPr>
          <w:rFonts w:ascii="Arial" w:hAnsi="Arial" w:cs="Arial"/>
          <w:b/>
          <w:bCs/>
          <w:sz w:val="24"/>
          <w:szCs w:val="24"/>
        </w:rPr>
        <w:t>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lastRenderedPageBreak/>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7185" w14:textId="77777777" w:rsidR="00BD593E" w:rsidRDefault="00BD593E" w:rsidP="00287E01">
      <w:pPr>
        <w:spacing w:after="0" w:line="240" w:lineRule="auto"/>
      </w:pPr>
      <w:r>
        <w:separator/>
      </w:r>
    </w:p>
  </w:endnote>
  <w:endnote w:type="continuationSeparator" w:id="0">
    <w:p w14:paraId="292B07B5" w14:textId="77777777" w:rsidR="00BD593E" w:rsidRDefault="00BD593E"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2CC7" w14:textId="77777777" w:rsidR="00BD593E" w:rsidRDefault="00BD593E" w:rsidP="00287E01">
      <w:pPr>
        <w:spacing w:after="0" w:line="240" w:lineRule="auto"/>
      </w:pPr>
      <w:r>
        <w:separator/>
      </w:r>
    </w:p>
  </w:footnote>
  <w:footnote w:type="continuationSeparator" w:id="0">
    <w:p w14:paraId="1CD020C1" w14:textId="77777777" w:rsidR="00BD593E" w:rsidRDefault="00BD593E"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BD3D40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2E57C2">
      <w:rPr>
        <w:rFonts w:ascii="Arial" w:hAnsi="Arial" w:cs="Arial"/>
      </w:rPr>
      <w:t>8</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255AE"/>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62687"/>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170D5"/>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22816"/>
    <w:rsid w:val="00325A35"/>
    <w:rsid w:val="00331AAA"/>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517444"/>
    <w:rsid w:val="0052300B"/>
    <w:rsid w:val="00524A95"/>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31483"/>
    <w:rsid w:val="00831C10"/>
    <w:rsid w:val="00841324"/>
    <w:rsid w:val="008451EC"/>
    <w:rsid w:val="00852DC2"/>
    <w:rsid w:val="00860CF8"/>
    <w:rsid w:val="00875D59"/>
    <w:rsid w:val="00880776"/>
    <w:rsid w:val="0089336A"/>
    <w:rsid w:val="00894199"/>
    <w:rsid w:val="00897DCF"/>
    <w:rsid w:val="008A172A"/>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56350"/>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A6F7E"/>
    <w:rsid w:val="00BC6B78"/>
    <w:rsid w:val="00BD06B5"/>
    <w:rsid w:val="00BD593E"/>
    <w:rsid w:val="00BE289E"/>
    <w:rsid w:val="00BE34B5"/>
    <w:rsid w:val="00BE3B3B"/>
    <w:rsid w:val="00C001A8"/>
    <w:rsid w:val="00C023B1"/>
    <w:rsid w:val="00C042A6"/>
    <w:rsid w:val="00C06A40"/>
    <w:rsid w:val="00C2293B"/>
    <w:rsid w:val="00C30D75"/>
    <w:rsid w:val="00C41B61"/>
    <w:rsid w:val="00C42EA2"/>
    <w:rsid w:val="00C44EE7"/>
    <w:rsid w:val="00C77DF4"/>
    <w:rsid w:val="00C8357F"/>
    <w:rsid w:val="00C8756E"/>
    <w:rsid w:val="00C90890"/>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42</Pages>
  <Words>13392</Words>
  <Characters>76339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18</cp:revision>
  <dcterms:created xsi:type="dcterms:W3CDTF">2022-08-16T13:28:00Z</dcterms:created>
  <dcterms:modified xsi:type="dcterms:W3CDTF">2022-08-28T21:41:00Z</dcterms:modified>
</cp:coreProperties>
</file>