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 xml:space="preserve">Any comments about the documentation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67830AD3" w14:textId="6338136F"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r>
      <w:r w:rsidR="00FD02FF">
        <w:rPr>
          <w:rFonts w:ascii="Arial" w:hAnsi="Arial" w:cs="Arial"/>
        </w:rPr>
        <w:lastRenderedPageBreak/>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lastRenderedPageBreak/>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lastRenderedPageBreak/>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 xml:space="preserve">be omitted in order for it to load. An </w:t>
      </w:r>
      <w:r>
        <w:rPr>
          <w:rFonts w:ascii="Arial" w:hAnsi="Arial" w:cs="Arial"/>
          <w:sz w:val="22"/>
          <w:szCs w:val="22"/>
        </w:rPr>
        <w:lastRenderedPageBreak/>
        <w:t>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A1ADE2C" w:rsidR="00ED01A8" w:rsidRPr="003F37C3" w:rsidRDefault="00ED01A8" w:rsidP="00F61A85">
      <w:pPr>
        <w:spacing w:line="240" w:lineRule="auto"/>
        <w:rPr>
          <w:rFonts w:ascii="Arial" w:hAnsi="Arial" w:cs="Arial"/>
          <w:sz w:val="22"/>
          <w:szCs w:val="22"/>
        </w:rPr>
      </w:pPr>
      <w:r>
        <w:rPr>
          <w:rFonts w:ascii="Arial" w:hAnsi="Arial" w:cs="Arial"/>
          <w:sz w:val="22"/>
          <w:szCs w:val="22"/>
        </w:rPr>
        <w:t>Lightning provides an audio engine in order to facilitate playing in-game audio 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74EBB09A" w14:textId="298338C4" w:rsidR="00841324" w:rsidRPr="003F37C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lastRenderedPageBreak/>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AudioFile GetFileWith</w:t>
      </w:r>
      <w:r>
        <w:rPr>
          <w:rFonts w:ascii="Arial" w:hAnsi="Arial" w:cs="Arial"/>
          <w:b/>
          <w:bCs/>
          <w:sz w:val="22"/>
          <w:szCs w:val="22"/>
        </w:rPr>
        <w:t>Path</w:t>
      </w:r>
      <w:r>
        <w:rPr>
          <w:rFonts w:ascii="Arial" w:hAnsi="Arial" w:cs="Arial"/>
          <w:b/>
          <w:bCs/>
          <w:sz w:val="22"/>
          <w:szCs w:val="22"/>
        </w:rPr>
        <w:t xml:space="preserve">(string name): </w:t>
      </w:r>
      <w:r>
        <w:rPr>
          <w:rFonts w:ascii="Arial" w:hAnsi="Arial" w:cs="Arial"/>
          <w:sz w:val="22"/>
          <w:szCs w:val="22"/>
        </w:rPr>
        <w:t xml:space="preserve">Returns an AudioFile in the AudioManager’s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35B091D4" w14:textId="77777777" w:rsidR="006E30A0" w:rsidRPr="00D52AE5" w:rsidRDefault="006E30A0" w:rsidP="00F61A85">
      <w:pPr>
        <w:spacing w:line="240" w:lineRule="auto"/>
        <w:rPr>
          <w:rFonts w:ascii="Arial" w:hAnsi="Arial" w:cs="Arial"/>
          <w:sz w:val="22"/>
          <w:szCs w:val="22"/>
        </w:rPr>
      </w:pP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lastRenderedPageBreak/>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lastRenderedPageBreak/>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7E72CE4B" w:rsidR="00A12E79" w:rsidRP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64CD10BD"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29"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EABE6" w14:textId="77777777" w:rsidR="002B457A" w:rsidRDefault="002B457A" w:rsidP="00287E01">
      <w:pPr>
        <w:spacing w:after="0" w:line="240" w:lineRule="auto"/>
      </w:pPr>
      <w:r>
        <w:separator/>
      </w:r>
    </w:p>
  </w:endnote>
  <w:endnote w:type="continuationSeparator" w:id="0">
    <w:p w14:paraId="62F6F864" w14:textId="77777777" w:rsidR="002B457A" w:rsidRDefault="002B457A"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E084" w14:textId="77777777" w:rsidR="002B457A" w:rsidRDefault="002B457A" w:rsidP="00287E01">
      <w:pPr>
        <w:spacing w:after="0" w:line="240" w:lineRule="auto"/>
      </w:pPr>
      <w:r>
        <w:separator/>
      </w:r>
    </w:p>
  </w:footnote>
  <w:footnote w:type="continuationSeparator" w:id="0">
    <w:p w14:paraId="2F3CB975" w14:textId="77777777" w:rsidR="002B457A" w:rsidRDefault="002B457A"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7518D2B"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6C2542">
      <w:rPr>
        <w:rFonts w:ascii="Arial" w:hAnsi="Arial" w:cs="Arial"/>
      </w:rPr>
      <w:t>7</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62076"/>
    <w:rsid w:val="0027259C"/>
    <w:rsid w:val="00273471"/>
    <w:rsid w:val="00281BCA"/>
    <w:rsid w:val="00287E01"/>
    <w:rsid w:val="002A4F6F"/>
    <w:rsid w:val="002A5DB1"/>
    <w:rsid w:val="002B457A"/>
    <w:rsid w:val="002C1348"/>
    <w:rsid w:val="002C3800"/>
    <w:rsid w:val="002C42F8"/>
    <w:rsid w:val="002C6340"/>
    <w:rsid w:val="002D3AC5"/>
    <w:rsid w:val="002E240E"/>
    <w:rsid w:val="002F4281"/>
    <w:rsid w:val="003030D4"/>
    <w:rsid w:val="00310FB9"/>
    <w:rsid w:val="00322816"/>
    <w:rsid w:val="00325A35"/>
    <w:rsid w:val="00331AAA"/>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2018B"/>
    <w:rsid w:val="00421CB8"/>
    <w:rsid w:val="00430806"/>
    <w:rsid w:val="00435A58"/>
    <w:rsid w:val="00440189"/>
    <w:rsid w:val="00453D84"/>
    <w:rsid w:val="00460A3E"/>
    <w:rsid w:val="0048724A"/>
    <w:rsid w:val="00491D44"/>
    <w:rsid w:val="00493014"/>
    <w:rsid w:val="004B1DDE"/>
    <w:rsid w:val="004B388F"/>
    <w:rsid w:val="004C07D1"/>
    <w:rsid w:val="004C2481"/>
    <w:rsid w:val="004C3112"/>
    <w:rsid w:val="004D3DFB"/>
    <w:rsid w:val="004D4FFF"/>
    <w:rsid w:val="00517444"/>
    <w:rsid w:val="0052300B"/>
    <w:rsid w:val="00535ECE"/>
    <w:rsid w:val="0053669E"/>
    <w:rsid w:val="00540AFD"/>
    <w:rsid w:val="00542536"/>
    <w:rsid w:val="005431B3"/>
    <w:rsid w:val="00543629"/>
    <w:rsid w:val="00544A39"/>
    <w:rsid w:val="00544CA7"/>
    <w:rsid w:val="00547DF2"/>
    <w:rsid w:val="005540CC"/>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1324"/>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51569"/>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ED3"/>
    <w:rsid w:val="00D3263E"/>
    <w:rsid w:val="00D353A5"/>
    <w:rsid w:val="00D52AE5"/>
    <w:rsid w:val="00D620D8"/>
    <w:rsid w:val="00D90705"/>
    <w:rsid w:val="00D93292"/>
    <w:rsid w:val="00D959B5"/>
    <w:rsid w:val="00DB2810"/>
    <w:rsid w:val="00DB7EB3"/>
    <w:rsid w:val="00DC1615"/>
    <w:rsid w:val="00DE0E15"/>
    <w:rsid w:val="00DE4301"/>
    <w:rsid w:val="00DF0D74"/>
    <w:rsid w:val="00DF1652"/>
    <w:rsid w:val="00DF1E4C"/>
    <w:rsid w:val="00DF4D97"/>
    <w:rsid w:val="00E12DC5"/>
    <w:rsid w:val="00E26B67"/>
    <w:rsid w:val="00E465FD"/>
    <w:rsid w:val="00E4723B"/>
    <w:rsid w:val="00E52976"/>
    <w:rsid w:val="00E70881"/>
    <w:rsid w:val="00E80BF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hyperlink" Target="https://github.com/flibitijibibo/SDL2-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38</Pages>
  <Words>11884</Words>
  <Characters>67739</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5</cp:revision>
  <dcterms:created xsi:type="dcterms:W3CDTF">2022-08-16T13:28:00Z</dcterms:created>
  <dcterms:modified xsi:type="dcterms:W3CDTF">2022-08-28T14:42:00Z</dcterms:modified>
</cp:coreProperties>
</file>