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center"/>
      </w:pPr>
      <w:r>
        <w:rPr>
          <w:rFonts w:ascii="Aptos Display" w:hAnsi="Aptos Display"/>
          <w:b/>
          <w:color w:val="1E64E7"/>
          <w:sz w:val="24"/>
        </w:rPr>
        <w:t>UPTIME GIZMO</w:t>
      </w:r>
    </w:p>
    <w:p>
      <w:pPr>
        <w:spacing w:before="80" w:after="160"/>
        <w:jc w:val="center"/>
      </w:pPr>
      <w:r>
        <w:rPr>
          <w:rFonts w:ascii="Aptos Display" w:hAnsi="Aptos Display"/>
          <w:b/>
          <w:color w:val="0A151E"/>
          <w:sz w:val="60"/>
        </w:rPr>
        <w:t>Color Guidelines</w:t>
      </w:r>
    </w:p>
    <w:p>
      <w:pPr>
        <w:jc w:val="center"/>
      </w:pPr>
      <w:r>
        <w:rPr>
          <w:rFonts w:ascii="Aptos" w:hAnsi="Aptos"/>
          <w:color w:val="575D64"/>
          <w:sz w:val="22"/>
        </w:rPr>
        <w:t>Brand palette, semantic colors, accessibility and implementation tokens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shd w:fill="ECAB24"/>
            <w:tcMar>
              <w:top w:w="300" w:type="dxa"/>
              <w:start w:w="140" w:type="dxa"/>
              <w:bottom w:w="30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Gizmo Gold</w:t>
            </w:r>
          </w:p>
        </w:tc>
        <w:tc>
          <w:tcPr>
            <w:tcW w:type="dxa" w:w="3168"/>
            <w:shd w:fill="0A151E"/>
            <w:tcMar>
              <w:top w:w="300" w:type="dxa"/>
              <w:start w:w="140" w:type="dxa"/>
              <w:bottom w:w="30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Deep Navy</w:t>
            </w:r>
          </w:p>
        </w:tc>
        <w:tc>
          <w:tcPr>
            <w:tcW w:type="dxa" w:w="3168"/>
            <w:shd w:fill="1E64E7"/>
            <w:tcMar>
              <w:top w:w="300" w:type="dxa"/>
              <w:start w:w="140" w:type="dxa"/>
              <w:bottom w:w="30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Signal Blue</w:t>
            </w:r>
          </w:p>
        </w:tc>
      </w:tr>
    </w:tbl>
    <w:p>
      <w:pPr>
        <w:spacing w:before="280"/>
        <w:jc w:val="center"/>
      </w:pPr>
      <w:r>
        <w:rPr>
          <w:rFonts w:ascii="Aptos Display" w:hAnsi="Aptos Display"/>
          <w:b/>
          <w:color w:val="ECAB24"/>
          <w:sz w:val="32"/>
        </w:rPr>
        <w:t>“Uptime is money, friend!”</w:t>
      </w:r>
    </w:p>
    <w:p>
      <w:pPr>
        <w:spacing w:before="360"/>
        <w:jc w:val="center"/>
      </w:pPr>
      <w:r>
        <w:rPr>
          <w:rFonts w:ascii="Aptos" w:hAnsi="Aptos"/>
          <w:b/>
          <w:color w:val="575D64"/>
          <w:sz w:val="18"/>
        </w:rPr>
        <w:t>Design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brand_identity_sheet_logo_guideline_sty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1. Core Brand Palette</w:t>
      </w:r>
    </w:p>
    <w:p>
      <w:pPr>
        <w:spacing w:after="200"/>
      </w:pPr>
      <w:r>
        <w:t>The palette is derived from the current flat Uptime Gizmo identity. Gold carries the character and engineering personality, Navy anchors the developer/infrastructure aesthetic, and Blue represents monitoring intelligence and AI interaction.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944"/>
        <w:gridCol w:w="1440"/>
        <w:gridCol w:w="1656"/>
        <w:gridCol w:w="4320"/>
      </w:tblGrid>
      <w:tr>
        <w:trPr>
          <w:tblHeader w:val="true"/>
        </w:trPr>
        <w:tc>
          <w:tcPr>
            <w:tcW w:type="dxa" w:w="2016"/>
            <w:shd w:fill="0A151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Swatch</w:t>
            </w:r>
          </w:p>
        </w:tc>
        <w:tc>
          <w:tcPr>
            <w:tcW w:type="dxa" w:w="2016"/>
            <w:shd w:fill="0A151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016"/>
            <w:shd w:fill="0A151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HEX</w:t>
            </w:r>
          </w:p>
        </w:tc>
        <w:tc>
          <w:tcPr>
            <w:tcW w:type="dxa" w:w="2016"/>
            <w:shd w:fill="0A151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RGB</w:t>
            </w:r>
          </w:p>
        </w:tc>
        <w:tc>
          <w:tcPr>
            <w:tcW w:type="dxa" w:w="2016"/>
            <w:shd w:fill="0A151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Primary use</w:t>
            </w:r>
          </w:p>
        </w:tc>
      </w:tr>
      <w:tr>
        <w:tc>
          <w:tcPr>
            <w:tcW w:type="dxa" w:w="1080"/>
            <w:tcMar>
              <w:top w:w="120" w:type="dxa"/>
              <w:start w:w="140" w:type="dxa"/>
              <w:bottom w:w="120" w:type="dxa"/>
              <w:end w:w="140" w:type="dxa"/>
            </w:tcMar>
            <w:shd w:fill="ECAB24"/>
            <w:vAlign w:val="center"/>
          </w:tcPr>
          <w:p/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A151E"/>
                <w:sz w:val="18"/>
              </w:rPr>
              <w:t>Gizmo Gold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A151E"/>
                <w:sz w:val="18"/>
              </w:rPr>
              <w:t>#ECAB24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A151E"/>
                <w:sz w:val="18"/>
              </w:rPr>
              <w:t>236, 171, 36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A151E"/>
                <w:sz w:val="18"/>
              </w:rPr>
              <w:t>Primary brand accent; gear, mascot highlights, key CTAs</w:t>
            </w:r>
          </w:p>
        </w:tc>
      </w:tr>
      <w:tr>
        <w:tc>
          <w:tcPr>
            <w:tcW w:type="dxa" w:w="1080"/>
            <w:tcMar>
              <w:top w:w="120" w:type="dxa"/>
              <w:start w:w="140" w:type="dxa"/>
              <w:bottom w:w="120" w:type="dxa"/>
              <w:end w:w="140" w:type="dxa"/>
            </w:tcMar>
            <w:shd w:fill="0A151E"/>
            <w:vAlign w:val="center"/>
          </w:tcPr>
          <w:p/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A151E"/>
                <w:sz w:val="18"/>
              </w:rPr>
              <w:t>Deep Navy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A151E"/>
                <w:sz w:val="18"/>
              </w:rPr>
              <w:t>#0A151E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A151E"/>
                <w:sz w:val="18"/>
              </w:rPr>
              <w:t>10, 21, 30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A151E"/>
                <w:sz w:val="18"/>
              </w:rPr>
              <w:t>Primary dark neutral; wordmark, dark surfaces, high-contrast text</w:t>
            </w:r>
          </w:p>
        </w:tc>
      </w:tr>
      <w:tr>
        <w:tc>
          <w:tcPr>
            <w:tcW w:type="dxa" w:w="1080"/>
            <w:tcMar>
              <w:top w:w="120" w:type="dxa"/>
              <w:start w:w="140" w:type="dxa"/>
              <w:bottom w:w="120" w:type="dxa"/>
              <w:end w:w="140" w:type="dxa"/>
            </w:tcMar>
            <w:shd w:fill="1E64E7"/>
            <w:vAlign w:val="center"/>
          </w:tcPr>
          <w:p/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A151E"/>
                <w:sz w:val="18"/>
              </w:rPr>
              <w:t>Signal Blue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A151E"/>
                <w:sz w:val="18"/>
              </w:rPr>
              <w:t>#1E64E7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A151E"/>
                <w:sz w:val="18"/>
              </w:rPr>
              <w:t>30, 100, 231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A151E"/>
                <w:sz w:val="18"/>
              </w:rPr>
              <w:t>AI/monitoring accent; goggles, links, active and informational UI</w:t>
            </w:r>
          </w:p>
        </w:tc>
      </w:tr>
      <w:tr>
        <w:tc>
          <w:tcPr>
            <w:tcW w:type="dxa" w:w="1080"/>
            <w:tcMar>
              <w:top w:w="120" w:type="dxa"/>
              <w:start w:w="140" w:type="dxa"/>
              <w:bottom w:w="120" w:type="dxa"/>
              <w:end w:w="140" w:type="dxa"/>
            </w:tcMar>
            <w:shd w:fill="FCFCFC"/>
            <w:vAlign w:val="center"/>
          </w:tcPr>
          <w:p/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A151E"/>
                <w:sz w:val="18"/>
              </w:rPr>
              <w:t>Cloud White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A151E"/>
                <w:sz w:val="18"/>
              </w:rPr>
              <w:t>#FCFCFC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A151E"/>
                <w:sz w:val="18"/>
              </w:rPr>
              <w:t>252, 252, 252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A151E"/>
                <w:sz w:val="18"/>
              </w:rPr>
              <w:t>Primary light surface and page background</w:t>
            </w:r>
          </w:p>
        </w:tc>
      </w:tr>
      <w:tr>
        <w:tc>
          <w:tcPr>
            <w:tcW w:type="dxa" w:w="1080"/>
            <w:tcMar>
              <w:top w:w="120" w:type="dxa"/>
              <w:start w:w="140" w:type="dxa"/>
              <w:bottom w:w="120" w:type="dxa"/>
              <w:end w:w="140" w:type="dxa"/>
            </w:tcMar>
            <w:shd w:fill="575D64"/>
            <w:vAlign w:val="center"/>
          </w:tcPr>
          <w:p/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A151E"/>
                <w:sz w:val="18"/>
              </w:rPr>
              <w:t>Utility Gray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A151E"/>
                <w:sz w:val="18"/>
              </w:rPr>
              <w:t>#575D64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A151E"/>
                <w:sz w:val="18"/>
              </w:rPr>
              <w:t>87, 93, 100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A151E"/>
                <w:sz w:val="18"/>
              </w:rPr>
              <w:t>Secondary text, subdued labels, disabled/supporting UI</w:t>
            </w:r>
          </w:p>
        </w:tc>
      </w:tr>
      <w:tr>
        <w:tc>
          <w:tcPr>
            <w:tcW w:type="dxa" w:w="1080"/>
            <w:tcMar>
              <w:top w:w="120" w:type="dxa"/>
              <w:start w:w="140" w:type="dxa"/>
              <w:bottom w:w="120" w:type="dxa"/>
              <w:end w:w="140" w:type="dxa"/>
            </w:tcMar>
            <w:shd w:fill="A2A4A7"/>
            <w:vAlign w:val="center"/>
          </w:tcPr>
          <w:p/>
        </w:tc>
        <w:tc>
          <w:tcPr>
            <w:tcW w:type="dxa" w:w="194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A151E"/>
                <w:sz w:val="18"/>
              </w:rPr>
              <w:t>Soft Gray</w:t>
            </w:r>
          </w:p>
        </w:tc>
        <w:tc>
          <w:tcPr>
            <w:tcW w:type="dxa" w:w="144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A151E"/>
                <w:sz w:val="18"/>
              </w:rPr>
              <w:t>#A2A4A7</w:t>
            </w:r>
          </w:p>
        </w:tc>
        <w:tc>
          <w:tcPr>
            <w:tcW w:type="dxa" w:w="1656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A151E"/>
                <w:sz w:val="18"/>
              </w:rPr>
              <w:t>162, 164, 167</w:t>
            </w:r>
          </w:p>
        </w:tc>
        <w:tc>
          <w:tcPr>
            <w:tcW w:type="dxa" w:w="432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A151E"/>
                <w:sz w:val="18"/>
              </w:rPr>
              <w:t>Borders, dividers, tertiary metadata; use sparingly</w:t>
            </w:r>
          </w:p>
        </w:tc>
      </w:tr>
    </w:tbl>
    <w:p>
      <w:pPr>
        <w:spacing w:before="240"/>
      </w:pPr>
      <w:r>
        <w:rPr>
          <w:rFonts w:ascii="Aptos" w:hAnsi="Aptos"/>
          <w:b/>
          <w:color w:val="0A151E"/>
          <w:sz w:val="22"/>
        </w:rPr>
        <w:t>Recommended visual balance</w:t>
      </w:r>
    </w:p>
    <w:p>
      <w:r>
        <w:t>For product UI and marketing surfaces, keep the identity calm and infrastructure-focused. A good default is 60% Navy/White surfaces, 25% Gold brand elements, 10% Signal Blue interaction/AI accents, and no more than 5% high-energy supporting color.</w:t>
      </w:r>
    </w:p>
    <w:p>
      <w:pPr>
        <w:pStyle w:val="Heading1"/>
        <w:keepNext/>
      </w:pPr>
      <w:r>
        <w:t>2. Usage Rules</w:t>
      </w:r>
    </w:p>
    <w:p>
      <w:pPr>
        <w:spacing w:before="120"/>
      </w:pPr>
      <w:r>
        <w:rPr>
          <w:rFonts w:ascii="Aptos" w:hAnsi="Aptos"/>
          <w:b/>
          <w:color w:val="1E64E7"/>
          <w:sz w:val="22"/>
        </w:rPr>
        <w:t>Gold = brand, not status</w:t>
      </w:r>
    </w:p>
    <w:p>
      <w:pPr>
        <w:spacing w:after="100"/>
      </w:pPr>
      <w:r>
        <w:t>Use Gizmo Gold for the logo, mascot details, branded highlights and selected primary CTAs. Avoid using Gold as the default “warning” state; monitoring status colors need to remain semantically unambiguous.</w:t>
      </w:r>
    </w:p>
    <w:p>
      <w:pPr>
        <w:spacing w:before="120"/>
      </w:pPr>
      <w:r>
        <w:rPr>
          <w:rFonts w:ascii="Aptos" w:hAnsi="Aptos"/>
          <w:b/>
          <w:color w:val="1E64E7"/>
          <w:sz w:val="22"/>
        </w:rPr>
        <w:t>Blue = intelligence and interaction</w:t>
      </w:r>
    </w:p>
    <w:p>
      <w:pPr>
        <w:spacing w:after="100"/>
      </w:pPr>
      <w:r>
        <w:t>Use Signal Blue for AI actions, selected controls, links, live/interactive states and information. It should feel technical rather than decorative.</w:t>
      </w:r>
    </w:p>
    <w:p>
      <w:pPr>
        <w:spacing w:before="120"/>
      </w:pPr>
      <w:r>
        <w:rPr>
          <w:rFonts w:ascii="Aptos" w:hAnsi="Aptos"/>
          <w:b/>
          <w:color w:val="1E64E7"/>
          <w:sz w:val="22"/>
        </w:rPr>
        <w:t>Navy = foundation</w:t>
      </w:r>
    </w:p>
    <w:p>
      <w:pPr>
        <w:spacing w:after="100"/>
      </w:pPr>
      <w:r>
        <w:t>Deep Navy is the preferred dark background and strong text color. It gives Uptime Gizmo a developer-tool character without relying on pure black.</w:t>
      </w:r>
    </w:p>
    <w:p>
      <w:pPr>
        <w:spacing w:before="120"/>
      </w:pPr>
      <w:r>
        <w:rPr>
          <w:rFonts w:ascii="Aptos" w:hAnsi="Aptos"/>
          <w:b/>
          <w:color w:val="1E64E7"/>
          <w:sz w:val="22"/>
        </w:rPr>
        <w:t>Keep surfaces restrained</w:t>
      </w:r>
    </w:p>
    <w:p>
      <w:pPr>
        <w:spacing w:after="100"/>
      </w:pPr>
      <w:r>
        <w:t>Use Cloud White and neutral grays for most layout surfaces. The mascot can be expressive; the interface and logo should remain simple.</w:t>
      </w:r>
    </w:p>
    <w:p>
      <w:pPr>
        <w:pStyle w:val="Heading1"/>
        <w:keepNext/>
      </w:pPr>
      <w:r>
        <w:t>3. Monitoring Status Colors</w:t>
      </w:r>
    </w:p>
    <w:p>
      <w:r>
        <w:t>Status colors are functional tokens rather than brand colors. They should remain conventional so users can understand service health immediately.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088"/>
        <w:gridCol w:w="1512"/>
        <w:gridCol w:w="5328"/>
      </w:tblGrid>
      <w:tr>
        <w:tc>
          <w:tcPr>
            <w:tcW w:type="dxa" w:w="2520"/>
            <w:shd w:fill="0A151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</w:r>
          </w:p>
        </w:tc>
        <w:tc>
          <w:tcPr>
            <w:tcW w:type="dxa" w:w="2520"/>
            <w:shd w:fill="0A151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520"/>
            <w:shd w:fill="0A151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HEX</w:t>
            </w:r>
          </w:p>
        </w:tc>
        <w:tc>
          <w:tcPr>
            <w:tcW w:type="dxa" w:w="2520"/>
            <w:shd w:fill="0A151E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22C55E"/>
          </w:tcPr>
          <w:p/>
        </w:tc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A151E"/>
                <w:sz w:val="18"/>
              </w:rPr>
              <w:t>Operational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A151E"/>
                <w:sz w:val="18"/>
              </w:rPr>
              <w:t>#22C55E</w:t>
            </w:r>
          </w:p>
        </w:tc>
        <w:tc>
          <w:tcPr>
            <w:tcW w:type="dxa" w:w="53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A151E"/>
                <w:sz w:val="18"/>
              </w:rPr>
              <w:t>Healthy / online / passed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59E0B"/>
          </w:tcPr>
          <w:p/>
        </w:tc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A151E"/>
                <w:sz w:val="18"/>
              </w:rPr>
              <w:t>Degraded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A151E"/>
                <w:sz w:val="18"/>
              </w:rPr>
              <w:t>#F59E0B</w:t>
            </w:r>
          </w:p>
        </w:tc>
        <w:tc>
          <w:tcPr>
            <w:tcW w:type="dxa" w:w="53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A151E"/>
                <w:sz w:val="18"/>
              </w:rPr>
              <w:t>Warning / degraded performance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F4444"/>
          </w:tcPr>
          <w:p/>
        </w:tc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A151E"/>
                <w:sz w:val="18"/>
              </w:rPr>
              <w:t>Incident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A151E"/>
                <w:sz w:val="18"/>
              </w:rPr>
              <w:t>#EF4444</w:t>
            </w:r>
          </w:p>
        </w:tc>
        <w:tc>
          <w:tcPr>
            <w:tcW w:type="dxa" w:w="53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A151E"/>
                <w:sz w:val="18"/>
              </w:rPr>
              <w:t>Down / failed / incident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8B5CF6"/>
          </w:tcPr>
          <w:p/>
        </w:tc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A151E"/>
                <w:sz w:val="18"/>
              </w:rPr>
              <w:t>Maintenance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A151E"/>
                <w:sz w:val="18"/>
              </w:rPr>
              <w:t>#8B5CF6</w:t>
            </w:r>
          </w:p>
        </w:tc>
        <w:tc>
          <w:tcPr>
            <w:tcW w:type="dxa" w:w="53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A151E"/>
                <w:sz w:val="18"/>
              </w:rPr>
              <w:t>Scheduled maintenance / paused</w:t>
            </w:r>
          </w:p>
        </w:tc>
      </w:tr>
      <w:tr>
        <w:tc>
          <w:tcPr>
            <w:tcW w:type="dxa" w:w="100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6B7280"/>
          </w:tcPr>
          <w:p/>
        </w:tc>
        <w:tc>
          <w:tcPr>
            <w:tcW w:type="dxa" w:w="208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0A151E"/>
                <w:sz w:val="18"/>
              </w:rPr>
              <w:t>Unknown</w:t>
            </w:r>
          </w:p>
        </w:tc>
        <w:tc>
          <w:tcPr>
            <w:tcW w:type="dxa" w:w="151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0A151E"/>
                <w:sz w:val="18"/>
              </w:rPr>
              <w:t>#6B7280</w:t>
            </w:r>
          </w:p>
        </w:tc>
        <w:tc>
          <w:tcPr>
            <w:tcW w:type="dxa" w:w="53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0A151E"/>
                <w:sz w:val="18"/>
              </w:rPr>
              <w:t>Unknown / no data / disabled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4. Light and Dark Mode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5040"/>
            <w:shd w:fill="FCFCFC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r>
              <w:rPr>
                <w:rFonts w:ascii="Aptos" w:hAnsi="Aptos"/>
                <w:b/>
                <w:color w:val="0A151E"/>
                <w:sz w:val="28"/>
              </w:rPr>
              <w:t>Light mode</w:t>
            </w:r>
          </w:p>
          <w:p>
            <w:r>
              <w:rPr>
                <w:rFonts w:ascii="Aptos" w:hAnsi="Aptos"/>
                <w:b/>
                <w:color w:val="0A151E"/>
                <w:sz w:val="20"/>
              </w:rPr>
              <w:t>Primary text</w:t>
            </w:r>
            <w:r>
              <w:rPr>
                <w:rFonts w:ascii="Aptos" w:hAnsi="Aptos"/>
                <w:color w:val="575D64"/>
                <w:sz w:val="20"/>
              </w:rPr>
              <w:t xml:space="preserve">  ·  Secondary text</w:t>
            </w:r>
          </w:p>
          <w:p>
            <w:r>
              <w:rPr>
                <w:rFonts w:ascii="Aptos" w:hAnsi="Aptos"/>
                <w:b/>
                <w:color w:val="1E64E7"/>
                <w:sz w:val="20"/>
              </w:rPr>
              <w:t>Signal / AI interaction</w:t>
            </w:r>
          </w:p>
          <w:p>
            <w:r>
              <w:rPr>
                <w:rFonts w:ascii="Aptos" w:hAnsi="Aptos"/>
                <w:b/>
                <w:color w:val="ECAB24"/>
                <w:sz w:val="20"/>
              </w:rPr>
              <w:t>Gizmo Gold</w:t>
            </w:r>
          </w:p>
        </w:tc>
        <w:tc>
          <w:tcPr>
            <w:tcW w:type="dxa" w:w="5040"/>
            <w:shd w:fill="0A151E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r>
              <w:rPr>
                <w:rFonts w:ascii="Aptos" w:hAnsi="Aptos"/>
                <w:b/>
                <w:color w:val="FCFCFC"/>
                <w:sz w:val="28"/>
              </w:rPr>
              <w:t>Dark mode</w:t>
            </w:r>
          </w:p>
          <w:p>
            <w:r>
              <w:rPr>
                <w:rFonts w:ascii="Aptos" w:hAnsi="Aptos"/>
                <w:b/>
                <w:color w:val="FCFCFC"/>
                <w:sz w:val="20"/>
              </w:rPr>
              <w:t>Primary text</w:t>
            </w:r>
            <w:r>
              <w:rPr>
                <w:rFonts w:ascii="Aptos" w:hAnsi="Aptos"/>
                <w:color w:val="A2A4A7"/>
                <w:sz w:val="20"/>
              </w:rPr>
              <w:t xml:space="preserve">  ·  Secondary text</w:t>
            </w:r>
          </w:p>
          <w:p>
            <w:r>
              <w:rPr>
                <w:rFonts w:ascii="Aptos" w:hAnsi="Aptos"/>
                <w:b/>
                <w:color w:val="1E64E7"/>
                <w:sz w:val="20"/>
              </w:rPr>
              <w:t>Signal / AI interaction</w:t>
            </w:r>
          </w:p>
          <w:p>
            <w:r>
              <w:rPr>
                <w:rFonts w:ascii="Aptos" w:hAnsi="Aptos"/>
                <w:b/>
                <w:color w:val="ECAB24"/>
                <w:sz w:val="20"/>
              </w:rPr>
              <w:t>Gizmo Gold</w:t>
            </w:r>
          </w:p>
        </w:tc>
      </w:tr>
    </w:tbl>
    <w:p>
      <w:pPr>
        <w:spacing w:before="240"/>
      </w:pPr>
      <w:r>
        <w:rPr>
          <w:rFonts w:ascii="Aptos" w:hAnsi="Aptos"/>
          <w:b/>
          <w:color w:val="0A151E"/>
          <w:sz w:val="22"/>
        </w:rPr>
        <w:t>Contrast guidance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Use Deep Navy on Cloud White for primary body text and navigation.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Use Cloud White on Deep Navy for dark-mode text.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Do not use Gizmo Gold for small body text on white; reserve it for larger labels, icons, badges and filled elements.</w:t>
      </w:r>
    </w:p>
    <w:p>
      <w:pPr>
        <w:pStyle w:val="ListBullet"/>
        <w:spacing w:after="40"/>
      </w:pPr>
      <w:r>
        <w:rPr>
          <w:rFonts w:ascii="Aptos" w:hAnsi="Aptos"/>
          <w:sz w:val="20"/>
        </w:rPr>
        <w:t>Do not communicate monitoring state with color alone. Pair color with text, icons, or shape/status labels.</w:t>
      </w:r>
    </w:p>
    <w:p>
      <w:pPr>
        <w:pStyle w:val="Heading1"/>
        <w:keepNext/>
      </w:pPr>
      <w:r>
        <w:t>5. Design Tokens</w:t>
      </w:r>
    </w:p>
    <w:p>
      <w:r>
        <w:t>Recommended baseline tokens for web implementation: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080"/>
            <w:shd w:fill="F4F6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rFonts w:ascii="Liberation Mono" w:hAnsi="Liberation Mono"/>
                <w:color w:val="0A151E"/>
                <w:sz w:val="18"/>
              </w:rPr>
              <w:t>--gizmo-gold: #ECAB24;</w:t>
            </w:r>
            <w:r>
              <w:br/>
            </w:r>
            <w:r>
              <w:rPr>
                <w:rFonts w:ascii="Liberation Mono" w:hAnsi="Liberation Mono"/>
                <w:color w:val="0A151E"/>
                <w:sz w:val="18"/>
              </w:rPr>
              <w:t>--gizmo-navy: #0A151E;</w:t>
            </w:r>
            <w:r>
              <w:br/>
            </w:r>
            <w:r>
              <w:rPr>
                <w:rFonts w:ascii="Liberation Mono" w:hAnsi="Liberation Mono"/>
                <w:color w:val="0A151E"/>
                <w:sz w:val="18"/>
              </w:rPr>
              <w:t>--gizmo-blue: #1E64E7;</w:t>
            </w:r>
            <w:r>
              <w:br/>
            </w:r>
            <w:r>
              <w:rPr>
                <w:rFonts w:ascii="Liberation Mono" w:hAnsi="Liberation Mono"/>
                <w:color w:val="0A151E"/>
                <w:sz w:val="18"/>
              </w:rPr>
              <w:t>--gizmo-white: #FCFCFC;</w:t>
            </w:r>
            <w:r>
              <w:br/>
            </w:r>
            <w:r>
              <w:rPr>
                <w:rFonts w:ascii="Liberation Mono" w:hAnsi="Liberation Mono"/>
                <w:color w:val="0A151E"/>
                <w:sz w:val="18"/>
              </w:rPr>
              <w:t>--gizmo-gray-600: #575D64;</w:t>
            </w:r>
            <w:r>
              <w:br/>
            </w:r>
            <w:r>
              <w:rPr>
                <w:rFonts w:ascii="Liberation Mono" w:hAnsi="Liberation Mono"/>
                <w:color w:val="0A151E"/>
                <w:sz w:val="18"/>
              </w:rPr>
              <w:t>--gizmo-gray-400: #A2A4A7;</w:t>
            </w:r>
            <w:r>
              <w:br/>
            </w:r>
            <w:r>
              <w:rPr>
                <w:rFonts w:ascii="Liberation Mono" w:hAnsi="Liberation Mono"/>
                <w:color w:val="0A151E"/>
                <w:sz w:val="18"/>
              </w:rPr>
            </w:r>
            <w:r>
              <w:br/>
            </w:r>
            <w:r>
              <w:rPr>
                <w:rFonts w:ascii="Liberation Mono" w:hAnsi="Liberation Mono"/>
                <w:color w:val="0A151E"/>
                <w:sz w:val="18"/>
              </w:rPr>
              <w:t>--status-up: #22C55E;</w:t>
            </w:r>
            <w:r>
              <w:br/>
            </w:r>
            <w:r>
              <w:rPr>
                <w:rFonts w:ascii="Liberation Mono" w:hAnsi="Liberation Mono"/>
                <w:color w:val="0A151E"/>
                <w:sz w:val="18"/>
              </w:rPr>
              <w:t>--status-degraded: #F59E0B;</w:t>
            </w:r>
            <w:r>
              <w:br/>
            </w:r>
            <w:r>
              <w:rPr>
                <w:rFonts w:ascii="Liberation Mono" w:hAnsi="Liberation Mono"/>
                <w:color w:val="0A151E"/>
                <w:sz w:val="18"/>
              </w:rPr>
              <w:t>--status-down: #EF4444;</w:t>
            </w:r>
            <w:r>
              <w:br/>
            </w:r>
            <w:r>
              <w:rPr>
                <w:rFonts w:ascii="Liberation Mono" w:hAnsi="Liberation Mono"/>
                <w:color w:val="0A151E"/>
                <w:sz w:val="18"/>
              </w:rPr>
              <w:t>--status-maintenance: #8B5CF6;</w:t>
            </w:r>
            <w:r>
              <w:br/>
            </w:r>
            <w:r>
              <w:rPr>
                <w:rFonts w:ascii="Liberation Mono" w:hAnsi="Liberation Mono"/>
                <w:color w:val="0A151E"/>
                <w:sz w:val="18"/>
              </w:rPr>
              <w:t>--status-unknown: #6B7280;</w:t>
            </w:r>
          </w:p>
        </w:tc>
      </w:tr>
    </w:tbl>
    <w:p>
      <w:pPr>
        <w:pStyle w:val="Heading1"/>
        <w:keepNext/>
      </w:pPr>
      <w:r>
        <w:t>6. Quick Brand Checklist</w:t>
      </w:r>
    </w:p>
    <w:p>
      <w:pPr>
        <w:pStyle w:val="ListBullet"/>
        <w:spacing w:after="20" w:line="240" w:lineRule="auto"/>
      </w:pPr>
      <w:r>
        <w:rPr>
          <w:rFonts w:ascii="Aptos" w:hAnsi="Aptos"/>
          <w:sz w:val="18"/>
        </w:rPr>
        <w:t>Use Gold + Navy as the dominant brand pairing.</w:t>
      </w:r>
    </w:p>
    <w:p>
      <w:pPr>
        <w:pStyle w:val="ListBullet"/>
        <w:spacing w:after="20" w:line="240" w:lineRule="auto"/>
      </w:pPr>
      <w:r>
        <w:rPr>
          <w:rFonts w:ascii="Aptos" w:hAnsi="Aptos"/>
          <w:sz w:val="18"/>
        </w:rPr>
        <w:t>Use Signal Blue to communicate AI, monitoring intelligence and interaction.</w:t>
      </w:r>
    </w:p>
    <w:p>
      <w:pPr>
        <w:pStyle w:val="ListBullet"/>
        <w:spacing w:after="20" w:line="240" w:lineRule="auto"/>
      </w:pPr>
      <w:r>
        <w:rPr>
          <w:rFonts w:ascii="Aptos" w:hAnsi="Aptos"/>
          <w:sz w:val="18"/>
        </w:rPr>
        <w:t>Keep the logo flat and readable at favicon size; avoid heavy glow and realistic lighting in the core mark.</w:t>
      </w:r>
    </w:p>
    <w:p>
      <w:pPr>
        <w:pStyle w:val="ListBullet"/>
        <w:spacing w:after="20" w:line="240" w:lineRule="auto"/>
      </w:pPr>
      <w:r>
        <w:rPr>
          <w:rFonts w:ascii="Aptos" w:hAnsi="Aptos"/>
          <w:sz w:val="18"/>
        </w:rPr>
        <w:t>Keep semantic status colors separate from the primary brand palette.</w:t>
      </w:r>
    </w:p>
    <w:p>
      <w:pPr>
        <w:pStyle w:val="ListBullet"/>
        <w:spacing w:after="20" w:line="240" w:lineRule="auto"/>
      </w:pPr>
      <w:r>
        <w:rPr>
          <w:rFonts w:ascii="Aptos" w:hAnsi="Aptos"/>
          <w:sz w:val="18"/>
        </w:rPr>
        <w:t>Maintain the same token values across README assets, website, dashboard and social graphics.</w:t>
      </w:r>
    </w:p>
    <w:p>
      <w:pPr>
        <w:pStyle w:val="ListBullet"/>
        <w:spacing w:after="20" w:line="240" w:lineRule="auto"/>
      </w:pPr>
      <w:r>
        <w:rPr>
          <w:rFonts w:ascii="Aptos" w:hAnsi="Aptos"/>
          <w:sz w:val="18"/>
        </w:rPr>
        <w:t>Prefer the flat mascot/logo treatment for product UI; reserve the 3D Gizmo character for hero artwork and campaigns.</w:t>
      </w:r>
    </w:p>
    <w:p>
      <w:pPr>
        <w:spacing w:before="160"/>
        <w:jc w:val="center"/>
      </w:pPr>
      <w:r>
        <w:rPr>
          <w:rFonts w:ascii="Aptos" w:hAnsi="Aptos"/>
          <w:color w:val="A2A4A7"/>
          <w:sz w:val="18"/>
        </w:rPr>
        <w:t>Uptime Gizmo  ·  Color Guidelines  ·  v0.1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151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640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A15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Uptime Gizmo Color Guidelines</dc:title>
  <dc:subject>Brand color system and implementation guidance</dc:subject>
  <dc:creator>python-docx</dc:creator>
  <cp:keywords>Uptime Gizmo, brand, color, design system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